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CB" w:rsidRDefault="00FC4EB4" w:rsidP="00FC4EB4">
      <w:pPr>
        <w:pStyle w:val="Nadpis1"/>
      </w:pPr>
      <w:r>
        <w:t xml:space="preserve">Poměrová analýza  </w:t>
      </w:r>
      <w:r>
        <w:sym w:font="Wingdings" w:char="F0E0"/>
      </w:r>
      <w:r>
        <w:t xml:space="preserve"> Přímá analýza  intenzivních ukazatelů </w:t>
      </w:r>
    </w:p>
    <w:p w:rsidR="00FC4EB4" w:rsidRDefault="00FC4EB4" w:rsidP="00FC4EB4">
      <w:pPr>
        <w:pStyle w:val="Odstavecseseznamem"/>
        <w:numPr>
          <w:ilvl w:val="0"/>
          <w:numId w:val="1"/>
        </w:numPr>
      </w:pPr>
      <w:r>
        <w:t xml:space="preserve">Hodnocení rentability </w:t>
      </w:r>
    </w:p>
    <w:p w:rsidR="00FC4EB4" w:rsidRDefault="00FC4EB4" w:rsidP="00FC4EB4">
      <w:pPr>
        <w:pStyle w:val="Odstavecseseznamem"/>
        <w:numPr>
          <w:ilvl w:val="0"/>
          <w:numId w:val="1"/>
        </w:numPr>
      </w:pPr>
      <w:r>
        <w:t xml:space="preserve">Hodnocení aktivity </w:t>
      </w:r>
    </w:p>
    <w:p w:rsidR="00FC4EB4" w:rsidRDefault="00FC4EB4" w:rsidP="00FC4EB4">
      <w:pPr>
        <w:pStyle w:val="Odstavecseseznamem"/>
        <w:numPr>
          <w:ilvl w:val="0"/>
          <w:numId w:val="1"/>
        </w:numPr>
      </w:pPr>
      <w:r>
        <w:t>Hodnocení zadluženosti</w:t>
      </w:r>
    </w:p>
    <w:p w:rsidR="00603116" w:rsidRPr="00E96377" w:rsidRDefault="00603116" w:rsidP="00FC4EB4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E96377">
        <w:rPr>
          <w:b/>
          <w:color w:val="FF0000"/>
        </w:rPr>
        <w:t xml:space="preserve">Ukazatele likvidity </w:t>
      </w:r>
    </w:p>
    <w:p w:rsidR="00603116" w:rsidRDefault="00603116" w:rsidP="00FC4EB4">
      <w:pPr>
        <w:pStyle w:val="Odstavecseseznamem"/>
        <w:numPr>
          <w:ilvl w:val="0"/>
          <w:numId w:val="1"/>
        </w:numPr>
      </w:pPr>
      <w:r>
        <w:t>Ukazatele tržní hodnoty</w:t>
      </w:r>
    </w:p>
    <w:p w:rsidR="00FC4EB4" w:rsidRPr="0051200D" w:rsidRDefault="0051200D" w:rsidP="0051200D">
      <w:pPr>
        <w:pStyle w:val="Nadpis1"/>
        <w:rPr>
          <w:color w:val="C00000"/>
        </w:rPr>
      </w:pPr>
      <w:r w:rsidRPr="0051200D">
        <w:rPr>
          <w:color w:val="C00000"/>
        </w:rPr>
        <w:t xml:space="preserve">POMĚROVÁ ANALÝZA: HODNOCENÍ RENTABILITY </w:t>
      </w:r>
    </w:p>
    <w:p w:rsidR="00B637D3" w:rsidRPr="00FC481E" w:rsidRDefault="00B637D3" w:rsidP="00475F5D">
      <w:pPr>
        <w:pStyle w:val="Nadpis1"/>
        <w:rPr>
          <w:sz w:val="28"/>
          <w:szCs w:val="28"/>
          <w:u w:val="single"/>
        </w:rPr>
      </w:pPr>
      <w:r w:rsidRPr="00FC481E">
        <w:rPr>
          <w:sz w:val="28"/>
          <w:szCs w:val="28"/>
          <w:u w:val="single"/>
        </w:rPr>
        <w:t xml:space="preserve">Rentabilita celkového vloženého kapitálu ROA </w:t>
      </w:r>
    </w:p>
    <w:p w:rsidR="00B637D3" w:rsidRPr="00E96377" w:rsidRDefault="00B637D3" w:rsidP="00B637D3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E96377">
        <w:rPr>
          <w:b/>
        </w:rPr>
        <w:t>ROA</w:t>
      </w:r>
      <w:r>
        <w:t xml:space="preserve"> odráží celkovou výnosnost </w:t>
      </w:r>
      <w:r w:rsidRPr="00E96377">
        <w:rPr>
          <w:b/>
        </w:rPr>
        <w:t>kapitálu bez ohledu na to, z jakých zdrojů byly podnikatelské činnosti financovány</w:t>
      </w:r>
    </w:p>
    <w:p w:rsidR="00B637D3" w:rsidRDefault="00B637D3" w:rsidP="00B637D3">
      <w:pPr>
        <w:pStyle w:val="Odstavecseseznamem"/>
        <w:numPr>
          <w:ilvl w:val="0"/>
          <w:numId w:val="3"/>
        </w:numPr>
        <w:spacing w:after="0"/>
      </w:pPr>
      <w:r>
        <w:t xml:space="preserve">je použitelný </w:t>
      </w:r>
      <w:r w:rsidRPr="00E96377">
        <w:rPr>
          <w:b/>
        </w:rPr>
        <w:t>pro měření souhrnné efektivnost</w:t>
      </w:r>
    </w:p>
    <w:p w:rsidR="00B637D3" w:rsidRPr="00E96377" w:rsidRDefault="00084E5A" w:rsidP="00B637D3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t xml:space="preserve">ukazatel by měl </w:t>
      </w:r>
      <w:r w:rsidR="00B637D3">
        <w:t xml:space="preserve">být v </w:t>
      </w:r>
      <w:r w:rsidR="00B637D3" w:rsidRPr="00E96377">
        <w:rPr>
          <w:b/>
        </w:rPr>
        <w:t xml:space="preserve">čase rostoucí, nicméně je potřeba přihlédnout k vnějším okolnostem, tedy k celkové výkonnosti ekonomiky </w:t>
      </w:r>
      <w:r w:rsidR="005029AD" w:rsidRPr="00E96377">
        <w:rPr>
          <w:b/>
        </w:rPr>
        <w:t>a oboru</w:t>
      </w:r>
      <w:r w:rsidR="00B637D3" w:rsidRPr="00E96377">
        <w:rPr>
          <w:b/>
        </w:rPr>
        <w:t xml:space="preserve"> podnikání.</w:t>
      </w:r>
    </w:p>
    <w:p w:rsidR="005029AD" w:rsidRDefault="005029AD" w:rsidP="005029AD">
      <w:pPr>
        <w:pStyle w:val="Odstavecseseznamem"/>
        <w:numPr>
          <w:ilvl w:val="0"/>
          <w:numId w:val="3"/>
        </w:numPr>
      </w:pPr>
      <w:r>
        <w:t>EAT = vý</w:t>
      </w:r>
      <w:r w:rsidRPr="005029AD">
        <w:t>sledku hospodaření za účetní období,</w:t>
      </w:r>
      <w:r>
        <w:t xml:space="preserve"> výsledek po zdanění </w:t>
      </w:r>
    </w:p>
    <w:p w:rsidR="00B637D3" w:rsidRDefault="00B637D3" w:rsidP="00B637D3">
      <w:pPr>
        <w:pStyle w:val="Odstavecseseznamem"/>
        <w:spacing w:after="0"/>
        <w:ind w:left="360"/>
      </w:pPr>
    </w:p>
    <w:p w:rsidR="00B637D3" w:rsidRPr="00FC481E" w:rsidRDefault="00FC481E" w:rsidP="00084E5A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ROA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EBIT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celkový kapitál 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*100 nebo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EAT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Celkový kapitá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*100</m:t>
          </m:r>
        </m:oMath>
      </m:oMathPara>
    </w:p>
    <w:p w:rsidR="00FC4EB4" w:rsidRPr="00475F5D" w:rsidRDefault="00FC4EB4" w:rsidP="00475F5D">
      <w:pPr>
        <w:pStyle w:val="Nadpis1"/>
        <w:rPr>
          <w:sz w:val="28"/>
          <w:szCs w:val="28"/>
        </w:rPr>
      </w:pPr>
      <w:r w:rsidRPr="00475F5D">
        <w:rPr>
          <w:sz w:val="28"/>
          <w:szCs w:val="28"/>
        </w:rPr>
        <w:t xml:space="preserve">Rentabilita vlastního kapitálu </w:t>
      </w:r>
      <w:r w:rsidR="00B637D3">
        <w:rPr>
          <w:sz w:val="28"/>
          <w:szCs w:val="28"/>
        </w:rPr>
        <w:t xml:space="preserve">ROE </w:t>
      </w:r>
    </w:p>
    <w:p w:rsidR="00FC4EB4" w:rsidRPr="00FC481E" w:rsidRDefault="00FC481E" w:rsidP="00FC4EB4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ROE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EAT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vlastní kapitál 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zisk po zdanění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Vlastní kapitál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*100</m:t>
          </m:r>
        </m:oMath>
      </m:oMathPara>
    </w:p>
    <w:p w:rsidR="00475F5D" w:rsidRPr="00DB3FB6" w:rsidRDefault="00475F5D" w:rsidP="00475F5D">
      <w:pPr>
        <w:pStyle w:val="Odstavecseseznamem"/>
        <w:numPr>
          <w:ilvl w:val="0"/>
          <w:numId w:val="2"/>
        </w:numPr>
        <w:spacing w:after="0"/>
        <w:rPr>
          <w:b/>
          <w:color w:val="FF0000"/>
        </w:rPr>
      </w:pPr>
      <w:r>
        <w:t xml:space="preserve">Hodnota by měla </w:t>
      </w:r>
      <w:r w:rsidRPr="00FC481E">
        <w:rPr>
          <w:b/>
          <w:color w:val="C00000"/>
        </w:rPr>
        <w:t>v čase růst</w:t>
      </w:r>
    </w:p>
    <w:p w:rsidR="00DB3FB6" w:rsidRPr="00FC481E" w:rsidRDefault="00DB3FB6" w:rsidP="00475F5D">
      <w:pPr>
        <w:pStyle w:val="Odstavecseseznamem"/>
        <w:numPr>
          <w:ilvl w:val="0"/>
          <w:numId w:val="2"/>
        </w:numPr>
        <w:spacing w:after="0"/>
        <w:rPr>
          <w:b/>
          <w:color w:val="C00000"/>
        </w:rPr>
      </w:pPr>
      <w:r w:rsidRPr="00FC481E">
        <w:rPr>
          <w:b/>
          <w:color w:val="C00000"/>
        </w:rPr>
        <w:t xml:space="preserve">Výnosnost kapitálu vloženého akcionáři </w:t>
      </w:r>
    </w:p>
    <w:p w:rsidR="00FC4EB4" w:rsidRDefault="00475F5D" w:rsidP="00475F5D">
      <w:pPr>
        <w:pStyle w:val="Odstavecseseznamem"/>
        <w:numPr>
          <w:ilvl w:val="0"/>
          <w:numId w:val="2"/>
        </w:numPr>
        <w:spacing w:after="0"/>
      </w:pPr>
      <w:r>
        <w:t xml:space="preserve">Je-li </w:t>
      </w:r>
      <w:r w:rsidRPr="00475F5D">
        <w:rPr>
          <w:b/>
          <w:color w:val="C00000"/>
        </w:rPr>
        <w:t>hodnota ukazatele trvale nižší než výnosnost cenných papírů garantovaných státem, je podnik fakticky odsouzen k zániku</w:t>
      </w:r>
      <w:r>
        <w:t xml:space="preserve">, neboť investoři nebudou do takovéto investice vkládat své prostředky. </w:t>
      </w:r>
    </w:p>
    <w:p w:rsidR="00475F5D" w:rsidRDefault="00475F5D" w:rsidP="00475F5D">
      <w:pPr>
        <w:pStyle w:val="Odstavecseseznamem"/>
        <w:numPr>
          <w:ilvl w:val="0"/>
          <w:numId w:val="2"/>
        </w:numPr>
        <w:spacing w:after="0"/>
      </w:pPr>
      <w:r>
        <w:t xml:space="preserve">Obecně tedy platí, že by tento ukazatel </w:t>
      </w:r>
      <w:r w:rsidRPr="00475F5D">
        <w:rPr>
          <w:b/>
          <w:color w:val="C00000"/>
        </w:rPr>
        <w:t>měl být vyšší než je úroková míra bezrizikových cenných papírů</w:t>
      </w:r>
      <w:r w:rsidRPr="00475F5D">
        <w:rPr>
          <w:color w:val="C00000"/>
        </w:rPr>
        <w:t xml:space="preserve"> </w:t>
      </w:r>
      <w:r>
        <w:t>a rozdíl rentability vlastního kapitálu a úrokové míry bezrizikových cenných papírů se potom nazývá riziková prémie.</w:t>
      </w:r>
    </w:p>
    <w:p w:rsidR="00475F5D" w:rsidRDefault="00475F5D" w:rsidP="00475F5D">
      <w:pPr>
        <w:pStyle w:val="Odstavecseseznamem"/>
        <w:spacing w:after="0"/>
        <w:jc w:val="center"/>
        <w:rPr>
          <w:b/>
          <w:color w:val="C00000"/>
        </w:rPr>
      </w:pPr>
      <w:r w:rsidRPr="00475F5D">
        <w:rPr>
          <w:b/>
          <w:color w:val="C00000"/>
        </w:rPr>
        <w:t>ROE – úrok bezrizikových cenných papírů = riziková prémie</w:t>
      </w:r>
    </w:p>
    <w:p w:rsidR="00475F5D" w:rsidRDefault="00475F5D" w:rsidP="00475F5D">
      <w:pPr>
        <w:pStyle w:val="Odstavecseseznamem"/>
        <w:spacing w:after="0"/>
        <w:jc w:val="center"/>
        <w:rPr>
          <w:b/>
          <w:color w:val="C00000"/>
        </w:rPr>
      </w:pPr>
    </w:p>
    <w:p w:rsidR="00475F5D" w:rsidRPr="00475F5D" w:rsidRDefault="00475F5D" w:rsidP="00475F5D">
      <w:pPr>
        <w:rPr>
          <w:b/>
        </w:rPr>
      </w:pPr>
      <w:r>
        <w:lastRenderedPageBreak/>
        <w:t xml:space="preserve">Srovnávací kritérium </w:t>
      </w:r>
      <w:r w:rsidRPr="00475F5D">
        <w:rPr>
          <w:b/>
          <w:color w:val="C00000"/>
        </w:rPr>
        <w:t xml:space="preserve">pro rentabilitu vlastního kapitálu a tím je komparace </w:t>
      </w:r>
      <w:r w:rsidRPr="00DB3FB6">
        <w:rPr>
          <w:b/>
          <w:color w:val="C00000"/>
          <w:sz w:val="28"/>
          <w:szCs w:val="28"/>
          <w:u w:val="single"/>
        </w:rPr>
        <w:t xml:space="preserve">s náklady vlastního kapitálu (re), </w:t>
      </w:r>
      <w:r w:rsidRPr="00475F5D">
        <w:rPr>
          <w:b/>
          <w:color w:val="C00000"/>
        </w:rPr>
        <w:t>k</w:t>
      </w:r>
      <w:r>
        <w:t xml:space="preserve">teré zjišťujeme za jednotlivé firmy, ale je možné provést srovnání i </w:t>
      </w:r>
      <w:r w:rsidRPr="00DB3FB6">
        <w:rPr>
          <w:u w:val="single"/>
        </w:rPr>
        <w:t>s náklady vlastního kapitálu za dané odvětví podle NACE-CZ</w:t>
      </w:r>
      <w:r>
        <w:t xml:space="preserve">. </w:t>
      </w:r>
      <w:r w:rsidRPr="00475F5D">
        <w:rPr>
          <w:b/>
        </w:rPr>
        <w:t xml:space="preserve">Na základě srovnávání ROE s těmito dvěma veličinami můžeme firmy rozdělit do 4 základních kategorií: </w:t>
      </w:r>
    </w:p>
    <w:p w:rsidR="00475F5D" w:rsidRDefault="00475F5D" w:rsidP="00475F5D">
      <w:pPr>
        <w:spacing w:after="0"/>
        <w:ind w:left="708"/>
      </w:pPr>
      <w:r>
        <w:rPr>
          <w:rFonts w:ascii="Arial" w:hAnsi="Arial" w:cs="Arial"/>
        </w:rPr>
        <w:t>•</w:t>
      </w:r>
      <w:r w:rsidRPr="00475F5D">
        <w:rPr>
          <w:b/>
        </w:rPr>
        <w:t>I. kategorie</w:t>
      </w:r>
      <w:r>
        <w:t xml:space="preserve"> představuje firmy </w:t>
      </w:r>
      <w:r w:rsidR="00E96377" w:rsidRPr="005029AD">
        <w:rPr>
          <w:b/>
          <w:color w:val="C00000"/>
          <w:sz w:val="32"/>
          <w:szCs w:val="32"/>
        </w:rPr>
        <w:t>ROE &gt; r</w:t>
      </w:r>
      <w:r w:rsidR="00E96377" w:rsidRPr="005029AD">
        <w:rPr>
          <w:b/>
          <w:color w:val="C00000"/>
          <w:sz w:val="32"/>
          <w:szCs w:val="32"/>
          <w:vertAlign w:val="subscript"/>
        </w:rPr>
        <w:t>e</w:t>
      </w:r>
      <w:r w:rsidR="00E96377" w:rsidRPr="005029AD">
        <w:rPr>
          <w:b/>
          <w:color w:val="C00000"/>
          <w:sz w:val="32"/>
          <w:szCs w:val="32"/>
        </w:rPr>
        <w:t xml:space="preserve"> (</w:t>
      </w:r>
      <w:r w:rsidR="005029AD" w:rsidRPr="005029AD">
        <w:rPr>
          <w:b/>
          <w:color w:val="C00000"/>
          <w:sz w:val="32"/>
          <w:szCs w:val="32"/>
        </w:rPr>
        <w:t>náklady na vlastní kapitál)</w:t>
      </w:r>
      <w:r w:rsidR="00E96377" w:rsidRPr="005029AD">
        <w:rPr>
          <w:b/>
          <w:color w:val="C00000"/>
          <w:sz w:val="32"/>
          <w:szCs w:val="32"/>
        </w:rPr>
        <w:t xml:space="preserve"> =&gt; EVA</w:t>
      </w:r>
      <w:r w:rsidR="00E96377" w:rsidRPr="00E96377">
        <w:rPr>
          <w:color w:val="FF0000"/>
        </w:rPr>
        <w:t xml:space="preserve"> </w:t>
      </w:r>
      <w:r>
        <w:t>vytvářející ekonomickou přidanou hodnotu a hodnoty jejich rentability vlastního kapitálu</w:t>
      </w:r>
      <w:r w:rsidR="00E96377">
        <w:t xml:space="preserve"> </w:t>
      </w:r>
      <w:r>
        <w:t>jsou vyšší než hodnoty nákladů vlastního kapitálu;</w:t>
      </w:r>
    </w:p>
    <w:p w:rsidR="00475F5D" w:rsidRDefault="00475F5D" w:rsidP="00475F5D">
      <w:pPr>
        <w:spacing w:after="0"/>
        <w:ind w:left="708"/>
      </w:pPr>
      <w:r>
        <w:rPr>
          <w:rFonts w:ascii="Arial" w:hAnsi="Arial" w:cs="Arial"/>
        </w:rPr>
        <w:t>•</w:t>
      </w:r>
      <w:r w:rsidRPr="00475F5D">
        <w:rPr>
          <w:b/>
        </w:rPr>
        <w:t xml:space="preserve">II. </w:t>
      </w:r>
      <w:r w:rsidR="00E96377" w:rsidRPr="00475F5D">
        <w:rPr>
          <w:b/>
        </w:rPr>
        <w:t>K</w:t>
      </w:r>
      <w:r w:rsidRPr="00475F5D">
        <w:rPr>
          <w:b/>
        </w:rPr>
        <w:t>ategorie</w:t>
      </w:r>
      <w:r w:rsidR="00E96377">
        <w:rPr>
          <w:b/>
        </w:rPr>
        <w:t xml:space="preserve"> </w:t>
      </w:r>
      <w:r w:rsidR="00E96377" w:rsidRPr="005029AD">
        <w:rPr>
          <w:b/>
          <w:color w:val="C00000"/>
          <w:sz w:val="32"/>
          <w:szCs w:val="32"/>
        </w:rPr>
        <w:t>výnosnost bezrizikové aktiv</w:t>
      </w:r>
      <w:r w:rsidR="005029AD" w:rsidRPr="005029AD">
        <w:rPr>
          <w:b/>
          <w:color w:val="C00000"/>
          <w:sz w:val="32"/>
          <w:szCs w:val="32"/>
        </w:rPr>
        <w:t xml:space="preserve">  &lt;</w:t>
      </w:r>
      <w:r w:rsidR="00E96377" w:rsidRPr="005029AD">
        <w:rPr>
          <w:b/>
          <w:color w:val="C00000"/>
          <w:sz w:val="32"/>
          <w:szCs w:val="32"/>
        </w:rPr>
        <w:t xml:space="preserve"> ROE &lt;  r</w:t>
      </w:r>
      <w:r w:rsidR="00E96377" w:rsidRPr="005029AD">
        <w:rPr>
          <w:b/>
          <w:color w:val="C00000"/>
          <w:sz w:val="32"/>
          <w:szCs w:val="32"/>
          <w:vertAlign w:val="subscript"/>
        </w:rPr>
        <w:t>e</w:t>
      </w:r>
      <w:r w:rsidR="00E96377" w:rsidRPr="005029AD">
        <w:rPr>
          <w:b/>
          <w:color w:val="C00000"/>
          <w:sz w:val="32"/>
          <w:szCs w:val="32"/>
        </w:rPr>
        <w:t xml:space="preserve">  </w:t>
      </w:r>
      <w:r w:rsidR="005029AD" w:rsidRPr="005029AD">
        <w:rPr>
          <w:b/>
          <w:color w:val="C00000"/>
          <w:sz w:val="32"/>
          <w:szCs w:val="32"/>
        </w:rPr>
        <w:t>(náklady na vlastní kapitál)</w:t>
      </w:r>
      <w:r w:rsidR="005029AD" w:rsidRPr="00E96377">
        <w:rPr>
          <w:b/>
          <w:color w:val="FF0000"/>
          <w:sz w:val="32"/>
          <w:szCs w:val="32"/>
          <w:vertAlign w:val="subscript"/>
        </w:rPr>
        <w:t xml:space="preserve"> </w:t>
      </w:r>
      <w:r w:rsidR="005029AD">
        <w:rPr>
          <w:b/>
          <w:color w:val="FF0000"/>
          <w:sz w:val="32"/>
          <w:szCs w:val="32"/>
          <w:vertAlign w:val="subscript"/>
        </w:rPr>
        <w:t xml:space="preserve"> </w:t>
      </w:r>
      <w:r>
        <w:t>představuje firmy, jejichž ROE sice není vyšší než náklady vlastního kapitálu, ale je vyšší než výnosnost bezrizikových aktiv;</w:t>
      </w:r>
    </w:p>
    <w:p w:rsidR="00475F5D" w:rsidRPr="005029AD" w:rsidRDefault="00475F5D" w:rsidP="00475F5D">
      <w:pPr>
        <w:spacing w:after="0"/>
        <w:ind w:left="708"/>
        <w:rPr>
          <w:b/>
          <w:color w:val="C00000"/>
          <w:sz w:val="32"/>
          <w:szCs w:val="32"/>
        </w:rPr>
      </w:pPr>
      <w:r w:rsidRPr="00475F5D">
        <w:rPr>
          <w:rFonts w:ascii="Arial" w:hAnsi="Arial" w:cs="Arial"/>
          <w:b/>
        </w:rPr>
        <w:t>•</w:t>
      </w:r>
      <w:r w:rsidRPr="00475F5D">
        <w:rPr>
          <w:b/>
        </w:rPr>
        <w:t>III. kategorie</w:t>
      </w:r>
      <w:r>
        <w:t xml:space="preserve"> jsou firmy, které </w:t>
      </w:r>
      <w:r w:rsidRPr="005029AD">
        <w:rPr>
          <w:b/>
          <w:color w:val="C00000"/>
          <w:sz w:val="32"/>
          <w:szCs w:val="32"/>
        </w:rPr>
        <w:t xml:space="preserve">mají </w:t>
      </w:r>
      <w:r w:rsidR="00FC481E" w:rsidRPr="005029AD">
        <w:rPr>
          <w:rStyle w:val="highlight"/>
          <w:b/>
          <w:color w:val="C00000"/>
          <w:sz w:val="32"/>
          <w:szCs w:val="32"/>
        </w:rPr>
        <w:t>ROE</w:t>
      </w:r>
      <w:r w:rsidR="00FC481E" w:rsidRPr="005029AD">
        <w:rPr>
          <w:b/>
          <w:color w:val="C00000"/>
          <w:sz w:val="32"/>
          <w:szCs w:val="32"/>
        </w:rPr>
        <w:t xml:space="preserve"> &lt; výnosnost</w:t>
      </w:r>
      <w:r w:rsidRPr="005029AD">
        <w:rPr>
          <w:b/>
          <w:color w:val="C00000"/>
          <w:sz w:val="32"/>
          <w:szCs w:val="32"/>
        </w:rPr>
        <w:t xml:space="preserve"> bezrizikových aktiv</w:t>
      </w:r>
      <w:r w:rsidRPr="005029AD">
        <w:rPr>
          <w:color w:val="C00000"/>
          <w:sz w:val="32"/>
          <w:szCs w:val="32"/>
        </w:rPr>
        <w:t xml:space="preserve">, </w:t>
      </w:r>
      <w:r w:rsidRPr="005029AD">
        <w:rPr>
          <w:b/>
          <w:color w:val="C00000"/>
          <w:sz w:val="32"/>
          <w:szCs w:val="32"/>
        </w:rPr>
        <w:t>ale stále ještě vykazují kladné ROE;</w:t>
      </w:r>
    </w:p>
    <w:p w:rsidR="00475F5D" w:rsidRDefault="00475F5D" w:rsidP="00475F5D">
      <w:pPr>
        <w:spacing w:after="0"/>
        <w:ind w:left="708"/>
      </w:pPr>
      <w:r w:rsidRPr="00475F5D">
        <w:rPr>
          <w:rFonts w:ascii="Arial" w:hAnsi="Arial" w:cs="Arial"/>
          <w:b/>
        </w:rPr>
        <w:t>•</w:t>
      </w:r>
      <w:r w:rsidRPr="00475F5D">
        <w:rPr>
          <w:b/>
        </w:rPr>
        <w:t>IV. kategorie</w:t>
      </w:r>
      <w:r>
        <w:t xml:space="preserve"> představuje firmy, jejichž rentabilita je záporná, resp. mají zápornou hodnotu vlastního </w:t>
      </w:r>
      <w:r w:rsidR="00FC481E">
        <w:rPr>
          <w:b/>
          <w:color w:val="C00000"/>
          <w:sz w:val="32"/>
          <w:szCs w:val="32"/>
        </w:rPr>
        <w:t xml:space="preserve">kapitálu </w:t>
      </w:r>
      <w:r w:rsidR="005029AD" w:rsidRPr="005029AD">
        <w:rPr>
          <w:b/>
          <w:color w:val="C00000"/>
          <w:sz w:val="32"/>
          <w:szCs w:val="32"/>
        </w:rPr>
        <w:t>ROE = mínus =&gt; VK = mínus</w:t>
      </w:r>
    </w:p>
    <w:p w:rsidR="00E96377" w:rsidRDefault="00E96377" w:rsidP="00084E5A">
      <w:pPr>
        <w:spacing w:after="0"/>
        <w:jc w:val="left"/>
        <w:rPr>
          <w:rFonts w:eastAsia="Times New Roman" w:cs="Times New Roman"/>
          <w:b/>
          <w:szCs w:val="24"/>
          <w:lang w:eastAsia="cs-CZ"/>
        </w:rPr>
      </w:pPr>
    </w:p>
    <w:p w:rsidR="00B637D3" w:rsidRDefault="00B637D3" w:rsidP="00DB3FB6">
      <w:pPr>
        <w:rPr>
          <w:color w:val="C00000"/>
        </w:rPr>
      </w:pPr>
      <w:r>
        <w:rPr>
          <w:color w:val="C00000"/>
        </w:rPr>
        <w:t xml:space="preserve">Jeli ROE </w:t>
      </w:r>
      <w:r w:rsidR="00E96377">
        <w:rPr>
          <w:color w:val="C00000"/>
        </w:rPr>
        <w:t xml:space="preserve">&lt; </w:t>
      </w:r>
      <w:r w:rsidR="00E96377" w:rsidRPr="00E96377">
        <w:rPr>
          <w:color w:val="C00000"/>
        </w:rPr>
        <w:t>i</w:t>
      </w:r>
      <w:r w:rsidR="00E96377">
        <w:rPr>
          <w:color w:val="C00000"/>
        </w:rPr>
        <w:t xml:space="preserve"> </w:t>
      </w:r>
      <w:r w:rsidR="00E96377">
        <w:rPr>
          <w:color w:val="C00000"/>
          <w:vertAlign w:val="subscript"/>
        </w:rPr>
        <w:t xml:space="preserve">cizí </w:t>
      </w:r>
      <w:r w:rsidR="00FC481E">
        <w:rPr>
          <w:color w:val="C00000"/>
          <w:vertAlign w:val="subscript"/>
        </w:rPr>
        <w:t>zdroje (například</w:t>
      </w:r>
      <w:r>
        <w:rPr>
          <w:color w:val="C00000"/>
        </w:rPr>
        <w:t xml:space="preserve"> úvěru), s růstem </w:t>
      </w:r>
      <w:r w:rsidR="00E96377">
        <w:rPr>
          <w:color w:val="C00000"/>
        </w:rPr>
        <w:t>zadlužení klesá</w:t>
      </w:r>
      <w:r>
        <w:rPr>
          <w:color w:val="C00000"/>
        </w:rPr>
        <w:t xml:space="preserve"> výnosnost vlastního kapitálu.</w:t>
      </w:r>
    </w:p>
    <w:p w:rsidR="00084E5A" w:rsidRDefault="00084E5A" w:rsidP="00B637D3">
      <w:pPr>
        <w:spacing w:after="0" w:line="240" w:lineRule="auto"/>
        <w:jc w:val="center"/>
        <w:rPr>
          <w:color w:val="C00000"/>
        </w:rPr>
      </w:pPr>
    </w:p>
    <w:p w:rsidR="00B637D3" w:rsidRDefault="00B637D3" w:rsidP="00084E5A">
      <w:pPr>
        <w:pStyle w:val="Nadpis1"/>
        <w:rPr>
          <w:sz w:val="28"/>
          <w:szCs w:val="28"/>
        </w:rPr>
      </w:pPr>
      <w:r w:rsidRPr="00084E5A">
        <w:rPr>
          <w:sz w:val="28"/>
          <w:szCs w:val="28"/>
        </w:rPr>
        <w:t xml:space="preserve">RENTABILITA TRŽEB </w:t>
      </w:r>
      <w:r w:rsidR="008A1FCB">
        <w:rPr>
          <w:sz w:val="28"/>
          <w:szCs w:val="28"/>
        </w:rPr>
        <w:t>ROS</w:t>
      </w:r>
    </w:p>
    <w:p w:rsidR="00084E5A" w:rsidRPr="00FC481E" w:rsidRDefault="00FC481E" w:rsidP="00084E5A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ROS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Výsledek hospodáření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tržby 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*100 nebo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EBIT*100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tržby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nebo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EAT*100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tržby</m:t>
              </m:r>
            </m:den>
          </m:f>
        </m:oMath>
      </m:oMathPara>
    </w:p>
    <w:p w:rsidR="00084E5A" w:rsidRPr="008A1FCB" w:rsidRDefault="00084E5A" w:rsidP="00084E5A">
      <w:pPr>
        <w:pStyle w:val="Odstavecseseznamem"/>
        <w:numPr>
          <w:ilvl w:val="0"/>
          <w:numId w:val="5"/>
        </w:numPr>
        <w:rPr>
          <w:b/>
          <w:color w:val="C00000"/>
        </w:rPr>
      </w:pPr>
      <w:r w:rsidRPr="008A1FCB">
        <w:rPr>
          <w:b/>
          <w:color w:val="C00000"/>
        </w:rPr>
        <w:t>ukazatel vyjadřuje schopnost podniku dosahovat zisku při dané úrovni tržeb, tedy kolik dokáže podnik vyprodukovat efektu na 1 Kč tržeb</w:t>
      </w:r>
    </w:p>
    <w:p w:rsidR="00084E5A" w:rsidRDefault="00084E5A" w:rsidP="00084E5A">
      <w:pPr>
        <w:pStyle w:val="Odstavecseseznamem"/>
        <w:numPr>
          <w:ilvl w:val="0"/>
          <w:numId w:val="5"/>
        </w:numPr>
      </w:pPr>
      <w:r w:rsidRPr="00084E5A">
        <w:rPr>
          <w:rFonts w:eastAsia="Times New Roman" w:cs="Times New Roman"/>
          <w:szCs w:val="24"/>
          <w:lang w:eastAsia="cs-CZ"/>
        </w:rPr>
        <w:t>Výsledek</w:t>
      </w:r>
      <w:r>
        <w:t xml:space="preserve"> hospodaření může být růstný EBIT, EAT </w:t>
      </w:r>
    </w:p>
    <w:p w:rsidR="00084E5A" w:rsidRDefault="00084E5A" w:rsidP="00084E5A">
      <w:pPr>
        <w:pStyle w:val="Odstavecseseznamem"/>
        <w:numPr>
          <w:ilvl w:val="0"/>
          <w:numId w:val="5"/>
        </w:numPr>
      </w:pPr>
      <w:r>
        <w:t xml:space="preserve">Do položky tržeb se </w:t>
      </w:r>
      <w:r w:rsidRPr="00084E5A">
        <w:rPr>
          <w:b/>
          <w:color w:val="C00000"/>
        </w:rPr>
        <w:t>nejčastěji zahrnují tržby, které tvoří provozní hospodářský výsledek</w:t>
      </w:r>
      <w:r>
        <w:t xml:space="preserve">, </w:t>
      </w:r>
    </w:p>
    <w:p w:rsidR="00084E5A" w:rsidRDefault="00084E5A" w:rsidP="00084E5A">
      <w:pPr>
        <w:pStyle w:val="Odstavecseseznamem"/>
        <w:numPr>
          <w:ilvl w:val="0"/>
          <w:numId w:val="5"/>
        </w:numPr>
      </w:pPr>
      <w:r>
        <w:t>je možné zahrnout tržby veškeré</w:t>
      </w:r>
      <w:r w:rsidR="008A1FCB">
        <w:t xml:space="preserve"> tržby</w:t>
      </w:r>
      <w:r>
        <w:t xml:space="preserve">, zejména použijeme-li namísto provozního hospodářského výsledku </w:t>
      </w:r>
      <w:r w:rsidR="008A1FCB">
        <w:t xml:space="preserve">(EBIT) </w:t>
      </w:r>
      <w:r>
        <w:t>čistý zisk (EAT).</w:t>
      </w:r>
    </w:p>
    <w:p w:rsidR="00084E5A" w:rsidRDefault="00084E5A" w:rsidP="00084E5A">
      <w:pPr>
        <w:pStyle w:val="Odstavecseseznamem"/>
        <w:spacing w:after="0" w:line="240" w:lineRule="auto"/>
      </w:pPr>
    </w:p>
    <w:p w:rsidR="00084E5A" w:rsidRDefault="008A1FCB" w:rsidP="00084E5A">
      <w:pPr>
        <w:spacing w:after="0" w:line="240" w:lineRule="auto"/>
        <w:rPr>
          <w:b/>
        </w:rPr>
      </w:pPr>
      <w:r w:rsidRPr="008A1FCB">
        <w:rPr>
          <w:b/>
        </w:rPr>
        <w:t xml:space="preserve">RENTABILITA NÁKLADŮ </w:t>
      </w:r>
      <w:r>
        <w:rPr>
          <w:b/>
        </w:rPr>
        <w:t xml:space="preserve">ROC </w:t>
      </w:r>
    </w:p>
    <w:p w:rsidR="008A1FCB" w:rsidRDefault="008A1FCB" w:rsidP="00084E5A">
      <w:pPr>
        <w:spacing w:after="0" w:line="240" w:lineRule="auto"/>
        <w:rPr>
          <w:b/>
        </w:rPr>
      </w:pPr>
    </w:p>
    <w:p w:rsidR="008A1FCB" w:rsidRDefault="008A1FCB" w:rsidP="008A1FCB">
      <w:pPr>
        <w:rPr>
          <w:b/>
        </w:rPr>
      </w:pPr>
      <w:r>
        <w:t>Vývoj toho ukazatele by měl podléhat stejnému vývojovému trendu jako ostatní ukazatele rentability. Už i horizontální analýza vývoje tržeb a nákladů může napovědět, jakým způsobem se bude vyvíjet rentabilita nákladů.</w:t>
      </w:r>
    </w:p>
    <w:p w:rsidR="008A1FCB" w:rsidRPr="00FC481E" w:rsidRDefault="00FC481E" w:rsidP="008A1FCB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ROC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Výsledek hospodáření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náklady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*100</m:t>
          </m:r>
        </m:oMath>
      </m:oMathPara>
    </w:p>
    <w:p w:rsidR="008A1FCB" w:rsidRDefault="008A1FCB" w:rsidP="00084E5A">
      <w:pPr>
        <w:spacing w:after="0" w:line="240" w:lineRule="auto"/>
        <w:rPr>
          <w:b/>
        </w:rPr>
      </w:pPr>
    </w:p>
    <w:p w:rsidR="008A1FCB" w:rsidRDefault="008A1FCB" w:rsidP="008A1FCB">
      <w:r>
        <w:t>Při analýze nákladů lze také použít poměru zisku před zdaněním a úroky k celkovým nákladům nebo podíl pohledávek k tržbám, což je ukazatel, který představuje objem nerealizovaných tržeb (</w:t>
      </w:r>
      <w:r w:rsidRPr="008A1FCB">
        <w:rPr>
          <w:b/>
          <w:color w:val="C00000"/>
        </w:rPr>
        <w:t>za uspokojivé lze označit hodnoty okolo 20 %).</w:t>
      </w:r>
      <w:r w:rsidRPr="008A1FCB">
        <w:rPr>
          <w:color w:val="C00000"/>
        </w:rPr>
        <w:t xml:space="preserve"> </w:t>
      </w:r>
      <w:r>
        <w:t>S rentabilitou tržeb a rentabilitou nákladů souvisí ještě nákladovost vyjádřená jako doplňkový ukazatel k rentabilitě tržeb.</w:t>
      </w:r>
    </w:p>
    <w:p w:rsidR="008A1FCB" w:rsidRDefault="008A1FCB" w:rsidP="008A1FCB">
      <w:pPr>
        <w:jc w:val="center"/>
        <w:rPr>
          <w:sz w:val="28"/>
          <w:szCs w:val="28"/>
        </w:rPr>
      </w:pPr>
      <w:r w:rsidRPr="008A1FCB">
        <w:rPr>
          <w:b/>
        </w:rPr>
        <w:t>Nákladovost = 1</w:t>
      </w:r>
      <w:r>
        <w:rPr>
          <w:b/>
        </w:rPr>
        <w:t xml:space="preserve"> </w:t>
      </w:r>
      <w:r w:rsidRPr="008A1FCB">
        <w:rPr>
          <w:b/>
        </w:rPr>
        <w:t>- rentabilita tržeb</w:t>
      </w:r>
    </w:p>
    <w:p w:rsidR="008A1FCB" w:rsidRDefault="008A1FCB" w:rsidP="008A1FCB">
      <w:pPr>
        <w:jc w:val="center"/>
        <w:rPr>
          <w:b/>
        </w:rPr>
      </w:pPr>
      <w:r w:rsidRPr="008A1FCB">
        <w:rPr>
          <w:b/>
        </w:rPr>
        <w:t xml:space="preserve">Nákladovost = </w:t>
      </w:r>
      <w:r>
        <w:rPr>
          <w:b/>
        </w:rPr>
        <w:t>(</w:t>
      </w:r>
      <w:r w:rsidRPr="008A1FCB">
        <w:rPr>
          <w:b/>
        </w:rPr>
        <w:t xml:space="preserve">1- </w:t>
      </w:r>
      <w:r>
        <w:rPr>
          <w:b/>
        </w:rPr>
        <w:t>(ROS/100))*100</w:t>
      </w:r>
    </w:p>
    <w:p w:rsidR="008A1FCB" w:rsidRPr="008A1FCB" w:rsidRDefault="008A1FCB" w:rsidP="008A1FCB">
      <w:pPr>
        <w:pStyle w:val="Odstavecseseznamem"/>
        <w:numPr>
          <w:ilvl w:val="0"/>
          <w:numId w:val="6"/>
        </w:numPr>
        <w:rPr>
          <w:b/>
        </w:rPr>
      </w:pPr>
      <w:r w:rsidRPr="008A1FCB">
        <w:rPr>
          <w:b/>
          <w:color w:val="C00000"/>
        </w:rPr>
        <w:t>Čím je nižší hodnota tohoto ukazatele, tím lepší hospodářské výsledky podnik dosahuje</w:t>
      </w:r>
      <w:r w:rsidRPr="008A1FCB">
        <w:t xml:space="preserve">, </w:t>
      </w:r>
    </w:p>
    <w:p w:rsidR="008A1FCB" w:rsidRPr="008A1FCB" w:rsidRDefault="008A1FCB" w:rsidP="008A1FCB">
      <w:pPr>
        <w:pStyle w:val="Odstavecseseznamem"/>
        <w:numPr>
          <w:ilvl w:val="0"/>
          <w:numId w:val="6"/>
        </w:numPr>
        <w:rPr>
          <w:b/>
        </w:rPr>
      </w:pPr>
      <w:r w:rsidRPr="008A1FCB">
        <w:rPr>
          <w:b/>
          <w:color w:val="C00000"/>
        </w:rPr>
        <w:t>neboť 1 Kč tržeb dokázal vytvořit s menšími náklady.</w:t>
      </w:r>
      <w:r w:rsidRPr="008A1FCB">
        <w:rPr>
          <w:b/>
        </w:rPr>
        <w:t xml:space="preserve"> </w:t>
      </w:r>
    </w:p>
    <w:p w:rsidR="008A1FCB" w:rsidRPr="00A35B76" w:rsidRDefault="008A1FCB" w:rsidP="008A1FCB">
      <w:pPr>
        <w:pStyle w:val="Odstavecseseznamem"/>
        <w:numPr>
          <w:ilvl w:val="0"/>
          <w:numId w:val="6"/>
        </w:numPr>
        <w:rPr>
          <w:b/>
        </w:rPr>
      </w:pPr>
      <w:r w:rsidRPr="008A1FCB">
        <w:t>Je však nutné si také uvědomit, že ke zvýšení absolutní částky zisku lze dojít nejen snižováním nákladů, ale také zvyšováním odbytu</w:t>
      </w:r>
      <w:r>
        <w:t>.</w:t>
      </w:r>
    </w:p>
    <w:p w:rsidR="00A35B76" w:rsidRDefault="00A35B76" w:rsidP="00A35B76">
      <w:pPr>
        <w:rPr>
          <w:b/>
        </w:rPr>
      </w:pPr>
    </w:p>
    <w:p w:rsidR="00A35B76" w:rsidRDefault="00A35B76" w:rsidP="00A35B76">
      <w:pPr>
        <w:rPr>
          <w:b/>
        </w:rPr>
      </w:pPr>
      <w:r>
        <w:rPr>
          <w:b/>
        </w:rPr>
        <w:t xml:space="preserve">POZNÁMKA </w:t>
      </w:r>
    </w:p>
    <w:p w:rsidR="00A35B76" w:rsidRDefault="00A35B76" w:rsidP="00A35B76">
      <w:pPr>
        <w:rPr>
          <w:b/>
        </w:rPr>
      </w:pPr>
      <w:r>
        <w:rPr>
          <w:b/>
        </w:rPr>
        <w:t xml:space="preserve">EBIT – PROVOZNÍ HOSPODÁŘSKÝ VÝSLEDEK </w:t>
      </w:r>
    </w:p>
    <w:p w:rsidR="00A35B76" w:rsidRDefault="00A35B76" w:rsidP="00A35B76">
      <w:pPr>
        <w:rPr>
          <w:b/>
        </w:rPr>
      </w:pPr>
      <w:r>
        <w:rPr>
          <w:b/>
        </w:rPr>
        <w:t xml:space="preserve">EAT -  UČETNÍ VÝSLEDEK ZA BĚŽNÉ OBDOBÍ, KDYŽ NENÍ </w:t>
      </w:r>
      <w:r w:rsidR="00F20B8B">
        <w:rPr>
          <w:b/>
        </w:rPr>
        <w:t xml:space="preserve">VE VaZZ, </w:t>
      </w:r>
      <w:bookmarkStart w:id="0" w:name="_GoBack"/>
      <w:bookmarkEnd w:id="0"/>
      <w:r>
        <w:rPr>
          <w:b/>
        </w:rPr>
        <w:t xml:space="preserve">TAK ZA ÚČETNÍ OBDOBÍ </w:t>
      </w:r>
    </w:p>
    <w:p w:rsidR="00A35B76" w:rsidRDefault="00A35B76" w:rsidP="00A35B76"/>
    <w:sectPr w:rsidR="00A3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66F"/>
    <w:multiLevelType w:val="hybridMultilevel"/>
    <w:tmpl w:val="FD600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BB9"/>
    <w:multiLevelType w:val="hybridMultilevel"/>
    <w:tmpl w:val="2B640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CA2"/>
    <w:multiLevelType w:val="hybridMultilevel"/>
    <w:tmpl w:val="6C7C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4C80"/>
    <w:multiLevelType w:val="hybridMultilevel"/>
    <w:tmpl w:val="52782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5C71"/>
    <w:multiLevelType w:val="hybridMultilevel"/>
    <w:tmpl w:val="669AA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31000"/>
    <w:multiLevelType w:val="hybridMultilevel"/>
    <w:tmpl w:val="269CA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5E10"/>
    <w:multiLevelType w:val="hybridMultilevel"/>
    <w:tmpl w:val="9EFCA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063A"/>
    <w:multiLevelType w:val="hybridMultilevel"/>
    <w:tmpl w:val="24A89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24A1B"/>
    <w:multiLevelType w:val="hybridMultilevel"/>
    <w:tmpl w:val="55D8C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B67"/>
    <w:multiLevelType w:val="hybridMultilevel"/>
    <w:tmpl w:val="EEC24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C709D"/>
    <w:multiLevelType w:val="hybridMultilevel"/>
    <w:tmpl w:val="1310C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wMTIxA2ILSzNTIyUdpeDU4uLM/DyQAsNaABxsY1YsAAAA"/>
  </w:docVars>
  <w:rsids>
    <w:rsidRoot w:val="00FC4EB4"/>
    <w:rsid w:val="00073050"/>
    <w:rsid w:val="00084E5A"/>
    <w:rsid w:val="001734E8"/>
    <w:rsid w:val="00212C0B"/>
    <w:rsid w:val="002D16CB"/>
    <w:rsid w:val="002D3220"/>
    <w:rsid w:val="002F62C9"/>
    <w:rsid w:val="00306FB9"/>
    <w:rsid w:val="003646EA"/>
    <w:rsid w:val="0037714B"/>
    <w:rsid w:val="003B0E4C"/>
    <w:rsid w:val="0042515B"/>
    <w:rsid w:val="00475F5D"/>
    <w:rsid w:val="004D57EB"/>
    <w:rsid w:val="005029AD"/>
    <w:rsid w:val="0051200D"/>
    <w:rsid w:val="005279D3"/>
    <w:rsid w:val="005318EF"/>
    <w:rsid w:val="00603116"/>
    <w:rsid w:val="00615495"/>
    <w:rsid w:val="00680984"/>
    <w:rsid w:val="006A1543"/>
    <w:rsid w:val="00711241"/>
    <w:rsid w:val="007652D5"/>
    <w:rsid w:val="007A37AE"/>
    <w:rsid w:val="007B647A"/>
    <w:rsid w:val="007D2FCE"/>
    <w:rsid w:val="008151C2"/>
    <w:rsid w:val="0083588D"/>
    <w:rsid w:val="00867DE8"/>
    <w:rsid w:val="00886A0F"/>
    <w:rsid w:val="008A1FCB"/>
    <w:rsid w:val="008B456C"/>
    <w:rsid w:val="008F6D44"/>
    <w:rsid w:val="009018F7"/>
    <w:rsid w:val="00910CBC"/>
    <w:rsid w:val="00926A3B"/>
    <w:rsid w:val="009C2C05"/>
    <w:rsid w:val="00A35B76"/>
    <w:rsid w:val="00A6056D"/>
    <w:rsid w:val="00B637D3"/>
    <w:rsid w:val="00BC48E6"/>
    <w:rsid w:val="00BD7047"/>
    <w:rsid w:val="00C133B8"/>
    <w:rsid w:val="00C572D4"/>
    <w:rsid w:val="00D03E8C"/>
    <w:rsid w:val="00D14CCF"/>
    <w:rsid w:val="00DB3FB6"/>
    <w:rsid w:val="00E10E91"/>
    <w:rsid w:val="00E96377"/>
    <w:rsid w:val="00EA0836"/>
    <w:rsid w:val="00EF6FCB"/>
    <w:rsid w:val="00F04B0C"/>
    <w:rsid w:val="00F20B8B"/>
    <w:rsid w:val="00F71269"/>
    <w:rsid w:val="00FC481E"/>
    <w:rsid w:val="00F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D25D"/>
  <w15:chartTrackingRefBased/>
  <w15:docId w15:val="{976B9333-0BFA-40AD-8ADA-20AD50B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EB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4EB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B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E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EB4"/>
    <w:rPr>
      <w:rFonts w:ascii="Times New Roman" w:eastAsiaTheme="majorEastAsia" w:hAnsi="Times New Roman" w:cstheme="majorBidi"/>
      <w:b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FC4EB4"/>
    <w:rPr>
      <w:color w:val="808080"/>
    </w:rPr>
  </w:style>
  <w:style w:type="character" w:customStyle="1" w:styleId="highlight">
    <w:name w:val="highlight"/>
    <w:basedOn w:val="Standardnpsmoodstavce"/>
    <w:rsid w:val="00475F5D"/>
  </w:style>
  <w:style w:type="table" w:styleId="Mkatabulky">
    <w:name w:val="Table Grid"/>
    <w:basedOn w:val="Normlntabulka"/>
    <w:uiPriority w:val="39"/>
    <w:rsid w:val="0083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04B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886A0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F71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27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</dc:creator>
  <cp:keywords/>
  <dc:description/>
  <cp:lastModifiedBy>Milena Botlíková</cp:lastModifiedBy>
  <cp:revision>2</cp:revision>
  <dcterms:created xsi:type="dcterms:W3CDTF">2022-03-27T08:22:00Z</dcterms:created>
  <dcterms:modified xsi:type="dcterms:W3CDTF">2022-03-27T08:22:00Z</dcterms:modified>
</cp:coreProperties>
</file>