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30" w:rsidRPr="00386C0C" w:rsidRDefault="00580230" w:rsidP="00A14914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  <w:sz w:val="24"/>
          <w:szCs w:val="24"/>
          <w:lang w:val="it-IT" w:eastAsia="it-IT"/>
        </w:rPr>
      </w:pPr>
    </w:p>
    <w:p w:rsidR="00580230" w:rsidRPr="00386C0C" w:rsidRDefault="00580230" w:rsidP="00A14914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  <w:sz w:val="24"/>
          <w:szCs w:val="24"/>
          <w:lang w:val="it-IT" w:eastAsia="it-IT"/>
        </w:rPr>
      </w:pPr>
    </w:p>
    <w:p w:rsidR="00580230" w:rsidRPr="00386C0C" w:rsidRDefault="00580230" w:rsidP="00A14914">
      <w:pPr>
        <w:widowControl w:val="0"/>
        <w:suppressAutoHyphens/>
        <w:spacing w:after="0" w:line="360" w:lineRule="auto"/>
        <w:rPr>
          <w:rStyle w:val="FontStyle18"/>
          <w:rFonts w:ascii="Times New Roman" w:eastAsia="Arial Unicode MS" w:hAnsi="Times New Roman" w:cs="Times New Roman"/>
          <w:b w:val="0"/>
          <w:bCs w:val="0"/>
          <w:iCs/>
          <w:kern w:val="1"/>
          <w:sz w:val="24"/>
          <w:szCs w:val="24"/>
          <w:lang w:val="it-IT" w:eastAsia="hi-IN" w:bidi="hi-IN"/>
        </w:rPr>
      </w:pPr>
      <w:r w:rsidRPr="00580230">
        <w:rPr>
          <w:rFonts w:ascii="Times New Roman" w:eastAsia="Arial Unicode MS" w:hAnsi="Times New Roman" w:cs="Times New Roman"/>
          <w:kern w:val="1"/>
          <w:sz w:val="24"/>
          <w:szCs w:val="24"/>
          <w:lang w:val="it-IT" w:eastAsia="hi-IN" w:bidi="hi-IN"/>
        </w:rPr>
        <w:t xml:space="preserve">Beccaria, G. L. </w:t>
      </w:r>
      <w:r w:rsidRPr="00580230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it-IT" w:eastAsia="hi-IN" w:bidi="hi-IN"/>
        </w:rPr>
        <w:t>Dizionario di linguistica, pp. 670-674.</w:t>
      </w:r>
    </w:p>
    <w:p w:rsidR="00BB6FF9" w:rsidRPr="00386C0C" w:rsidRDefault="00504335" w:rsidP="00A14914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it-IT" w:eastAsia="it-IT"/>
        </w:rPr>
        <w:t>S</w:t>
      </w:r>
      <w:r w:rsidR="00BB6FF9" w:rsidRPr="00386C0C">
        <w:rPr>
          <w:rStyle w:val="FontStyle18"/>
          <w:rFonts w:ascii="Times New Roman" w:hAnsi="Times New Roman" w:cs="Times New Roman"/>
          <w:sz w:val="24"/>
          <w:szCs w:val="24"/>
          <w:lang w:val="it-IT" w:eastAsia="it-IT"/>
        </w:rPr>
        <w:t>intassi</w:t>
      </w:r>
    </w:p>
    <w:p w:rsidR="004B791F" w:rsidRDefault="00BB6FF9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(gr.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syntaxis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'combinazione, ordine, disposizione'). 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Insieme alla → fonolo</w:t>
      </w:r>
      <w:r w:rsidR="00580230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gia, alla → morfologia ed alla →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lessicologia, la</w:t>
      </w:r>
      <w:r w:rsidRPr="00504335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 xml:space="preserve">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costituisce una delle branc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he fondamentali della linguisti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ca, occupandosi specificamente delle regole e dei principi che nelle lingue na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turali sovrintendono al collega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mento 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ed alle relazioni tra le catego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rie grammaticali.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>S</w:t>
      </w:r>
      <w:r w:rsidR="00504335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>intassi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come morfologia e fono</w:t>
      </w:r>
      <w:r w:rsidR="0006181E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logia, è termine polisemico, in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quanto non solo indica lo studio delle relazioni tra gli elementi linguistici, ma anche l'oggetto di tale studio, sia in rif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erimento ad uno specifico siste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 lingu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istico che in analisi contrasti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ve. La definizione tradizionale di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me analisi delle modalità con cui le -&gt; parole si combinano in unità di 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esten</w:t>
      </w:r>
      <w:r w:rsidR="00580230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sione maggiore, cioè le →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frasi, si può far risa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lire fino alla riflessione gram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maticale antica, sia greca che latina (ad es. Dionisio Trace, Varrone, Quin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tiliano, Apollonio Discolo, Pri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sciano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). Ma la scelta della parola co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me costituente sintattico minimo è proble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matica, vista l'ambiguità teori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ca che caratterizza questa nozione. Nella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linguistica moderna, si preferi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sce pertanto definire l'ambito dell'a</w:t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nalisi</w:t>
      </w:r>
    </w:p>
    <w:p w:rsidR="00504335" w:rsidRPr="00386C0C" w:rsidRDefault="00504335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</w:p>
    <w:p w:rsidR="004B791F" w:rsidRPr="00386C0C" w:rsidRDefault="004B791F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671</w:t>
      </w:r>
    </w:p>
    <w:p w:rsidR="00BB6FF9" w:rsidRPr="00386C0C" w:rsidRDefault="00BB6FF9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sintattica senza far riferimento a questa nozione, sottolineando piutto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sto la compresenza di unità sint</w:t>
      </w:r>
      <w:r w:rsidR="00580230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atti</w:t>
      </w:r>
      <w:r w:rsidR="00580230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</w:r>
      <w:r w:rsidR="00504335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che di → rango diverso (→ morfe</w:t>
      </w:r>
      <w:r w:rsidR="00580230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mi, lessemi, → proposizioni, →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periodi).</w:t>
      </w:r>
    </w:p>
    <w:p w:rsidR="004C72A8" w:rsidRPr="00386C0C" w:rsidRDefault="00BB6FF9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Le relazioni di tipo sintattico possono essere considera</w:t>
      </w:r>
      <w:r w:rsidR="001C43E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te non solo in rap</w:t>
      </w:r>
      <w:r w:rsidR="001C43E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porto alla →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funzione svolta dagli ele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menti linguistici nell'unità sintattica di appartenenza, ma anche in rappor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to alla f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orma da essi assunta; in italia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no, ad es., all'interno del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sintagma no</w:t>
      </w:r>
      <w:r w:rsidR="001C43E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minale, si ha →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accordo per le cate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gorie di genere e numero tra il nome e i suoi determinanti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(il vestito rosso);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nella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frase, accordo per persona e nu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mero tra soggetto e verbo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(i bambini dormono);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 latino, ad uno stesso sin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tag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 nominale possono essere asse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gnati d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iversi casi morfologici, in rap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porto alla funzione sintattica svolta dal sintagma: nominativo, se si tratta di soggetto, accusativo, se si tratta dell'ogg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etto diretto, e così via. Qualo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ra le funzioni sintattiche vengano esp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resse mediante variazioni morfo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logiche,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il livello di analisi non è sol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tanto sintattico, m</w:t>
      </w:r>
      <w:r w:rsidR="00A14914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 piuttosto morfo-sintattico (→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morfosint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assi). Nell'an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tichità, la distinzione tra </w:t>
      </w:r>
      <w:r w:rsidRPr="00F42001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>s</w:t>
      </w:r>
      <w:r w:rsidR="00F42001" w:rsidRPr="00F42001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>intassi</w:t>
      </w:r>
      <w:r w:rsidRPr="00F42001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 xml:space="preserve">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 morfolo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gia ve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niva interpretata come differen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za tra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funzione e forma: lo studio del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le variazioni di forma assunte dalle parole - essenzialmente variazioni fle</w:t>
      </w:r>
      <w:r w:rsidR="00DF20F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ssionali, vista la struttura dell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 lin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gue classiche - era di pertinenza della morfolo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gia, mentre l'analisi delle fun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zioni svolte da queste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lastRenderedPageBreak/>
        <w:t>forme nell'am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bito della frase costituiva l'oggetto della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sintassi. In realtà, nella lin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gua forme e funzioni si intrecciano strett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amente, per cui diventa diffici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le tenerle separate: in latino, per es., la forma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amicò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di dativo/ablativo ma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sch. sing. può assumere determi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nate funzioni in rapporto alle altre form</w:t>
      </w:r>
      <w:r w:rsidR="003E7DFB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 appartenenti allo stesso para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digma. Problematico più di quanto la tradizione grammaticale sia disposta ad ammettere risulta quindi tracciare confini netti che delimitino l'ambito di analisi sintattica rispetto a quello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="004C72A8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sintassi 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degli altri livelli normalmente ricono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sciuti; in particolare, il confine tra </w:t>
      </w:r>
      <w:r w:rsidR="004C72A8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e morfologia appare spesso incerto. Se è vero che </w:t>
      </w:r>
      <w:r w:rsidR="003E7DFB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tali delimitazioni dipendo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no 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 buona parte dal modello teori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 prescelto, resta pur sempre il fatto che esistono aree intermedie in cui gli eleme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nti hanno duplice statuto, tipi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camente morf</w:t>
      </w:r>
      <w:r w:rsidR="00A14914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osintattico (cfr., ad es., il →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caso). Parimenti stretti appaiono i rapporti tra lessico e </w:t>
      </w:r>
      <w:r w:rsidR="004C72A8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s, 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visto che molti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lessemi proiettano di per sé de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terminate valenze sintattiche; ad es. un nominale riferito ad un oggetto inan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imato non può costituire il sog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getto d</w:t>
      </w:r>
      <w:r w:rsidR="009828D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 un verbo che presupponga un → agente animato; cfr. *"Il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tavolo ha moss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 la sedia", accettabile soltan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to nell'interpretazione in cui </w:t>
      </w:r>
      <w:r w:rsidR="004C72A8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il tavolo </w:t>
      </w:r>
      <w:r w:rsidR="009828D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abbia funzione di →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str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umentale co</w:t>
      </w:r>
      <w:r w:rsidR="009828D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me caso profondo (→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grammatica dei ca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si), e non di vero e proprio mo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tore dell'azione. La </w:t>
      </w:r>
      <w:r w:rsidR="004C72A8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interagisce an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che con la fonolog</w:t>
      </w:r>
      <w:r w:rsidR="009828D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ia; alcuni tr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atti pro</w:t>
      </w:r>
      <w:r w:rsidR="009828D7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sodici (→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prosodia), quali l'intona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zione o l'accento, assumono infatti ri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levanza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sintattica in molti sistemi lin</w:t>
      </w:r>
      <w:r w:rsidR="004C72A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guistici.</w:t>
      </w:r>
    </w:p>
    <w:p w:rsidR="004C72A8" w:rsidRDefault="004C72A8" w:rsidP="00A14914">
      <w:pPr>
        <w:pStyle w:val="Style2"/>
        <w:widowControl/>
        <w:spacing w:line="360" w:lineRule="auto"/>
        <w:ind w:right="10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Tuttavia, la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manifesta alcune pro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prietà specifiche, che la differenziano dagli altri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livelli di analisi. Innanzitut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to, le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unità sintattiche non sono sol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tanto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linearmente ordinate (-&gt; linea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rità), </w:t>
      </w:r>
      <w:r w:rsidR="003E7DFB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 anche strutturate gerarchica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mente; ad es. nella frase "Ho visto una casa con un grande giardino", il sintagma preposizionale </w:t>
      </w:r>
      <w:r w:rsidR="00F42001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>con un gran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de giardino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è linearmente contiguo e str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utturalmente dipendente dal sin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tagma nominale oggetto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una casa,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di cui rappresenta un'espansione; </w:t>
      </w:r>
      <w:r w:rsidR="003E7DFB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(…)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 ambi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to sintattico si assiste inoltre ad una larga combinabilità degli elementi [cfr. Simone </w:t>
      </w:r>
      <w:r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1992],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cioè ad una certa libertà nell'ordine dei costituenti, co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munque regolata secondo principi specifici; ad es. sono accettabili sia "Vedrò mio padre domani" che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"Domani vedrò mio padre" (ma non</w:t>
      </w:r>
    </w:p>
    <w:p w:rsidR="00F42001" w:rsidRPr="00386C0C" w:rsidRDefault="00F42001" w:rsidP="00A14914">
      <w:pPr>
        <w:pStyle w:val="Style2"/>
        <w:widowControl/>
        <w:spacing w:line="360" w:lineRule="auto"/>
        <w:ind w:right="10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</w:p>
    <w:p w:rsidR="00F31367" w:rsidRPr="00386C0C" w:rsidRDefault="00F31367" w:rsidP="00A14914">
      <w:pPr>
        <w:pStyle w:val="Style2"/>
        <w:widowControl/>
        <w:spacing w:line="360" w:lineRule="auto"/>
        <w:ind w:right="10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672</w:t>
      </w:r>
    </w:p>
    <w:p w:rsidR="00092287" w:rsidRDefault="00F92093" w:rsidP="00F42001">
      <w:pPr>
        <w:pStyle w:val="Style2"/>
        <w:widowControl/>
        <w:spacing w:line="360" w:lineRule="auto"/>
        <w:ind w:right="10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*"Domani vedrò padre mio"). La morfologia è invece caratterizzata da una com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binabilità stretta, poiché l'or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dine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dei morfemi è fisso e determina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to per ogni sistema linguistico; ad es.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considerazione,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ma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*zione-considera, abbiamo parlato,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ma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* parlato abbiamo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(alme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no nella lingua corrente, esclu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dendo specifici registri, come quello poetico); In tutti i </w:t>
      </w:r>
      <w:r w:rsidR="00B0176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modelli teorici attuali, le uni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tà sintattiche essenziali riconosciute come avent</w:t>
      </w:r>
      <w:r w:rsidR="00A14914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 uno statuto proprio sono il →</w:t>
      </w:r>
      <w:r w:rsid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sintagma e la →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frase. In questi ambiti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vengono analizzate la distribu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zione e la funzione delle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lastRenderedPageBreak/>
        <w:t>categorie grammaticali, sia all'interno dell'unità sintattica prescelta che in rapporto ad altre un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ità dello stesso rango o di ran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go sup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eriore; ad es. nella frase "L'a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nello che mi hai regalato</w:t>
      </w:r>
      <w:r w:rsidR="00F10172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è bellissi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mo", il sintagma nominale </w:t>
      </w:r>
      <w:r w:rsidR="00F10172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l'anello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stituisce il soggetto della proposizio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ne principale, concordando quindi per numero con il 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verbo, e per nume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ro e genere con l'aggettivo predicati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vo; allo stesso tempo, rappresenta l</w:t>
      </w:r>
      <w:r w:rsidR="00F10172" w:rsidRPr="00386C0C">
        <w:rPr>
          <w:rStyle w:val="FontStyle13"/>
          <w:rFonts w:ascii="Times New Roman" w:hAnsi="Times New Roman" w:cs="Times New Roman"/>
          <w:sz w:val="24"/>
          <w:szCs w:val="24"/>
          <w:lang w:val="it-IT" w:eastAsia="it-IT"/>
        </w:rPr>
        <w:t xml:space="preserve">'i-» </w:t>
      </w:r>
      <w:r w:rsidR="00B0176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antecedente del pronome relati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vo c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he introduce la proposizione su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bordinata relativa, al cui interno il suddetto pronome funge da oggetto. In tal modo, la sequenza "L'anello che m</w:t>
      </w:r>
      <w:r w:rsidR="00B0176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 hai regalato" viene ad assume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re una s</w:t>
      </w:r>
      <w:r w:rsidR="00B0176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pecifica valenza sintattica, il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lustr</w:t>
      </w:r>
      <w:r w:rsidR="00B0176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ando una tipica costruzione sin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tagmatica composta da una -» testa (il sintagma nominale) e da un suo modific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ato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re (la frase relativa). A li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vello di frase complessa, o periodo, le modali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tà di costruzione sintattica so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no essenzialmente due: </w:t>
      </w:r>
      <w:r w:rsidR="00F10172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m 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coordina</w:t>
      </w:r>
      <w:r w:rsidR="00F1017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zione e subordinazione, a seconda che sia</w:t>
      </w:r>
      <w:r w:rsidR="00762B22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assente o presente un rappor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to di dipendenza tra le propos</w:t>
      </w:r>
      <w:r w:rsidR="00A14914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izioni. L'analisi tipologica (→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tipologia) in </w:t>
      </w:r>
      <w:r w:rsidR="00762B22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 è volta 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 primo luogo alla clas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sificazione delle lingue in rapporto all'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ordine basico dei tre costituen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ti principali nell'ambito della frase (-&gt; ordine delle parole </w:t>
      </w:r>
      <w:r w:rsidR="00762B22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2)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cioè Sog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getto (S), Verbo (V) e Oggetto (O); in base alla combinazione di questi costituenti s</w:t>
      </w:r>
      <w:r w:rsidR="00B0176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ono teoricamente pos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sibili sei diversi tipi [Greenberg </w:t>
      </w:r>
      <w:r w:rsidR="00762B22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1966]), 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 la loro frequenza di atte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stazione nelle lingue naturali è varia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bile: l'ordine SVO (ad es. italiano, francese, inglese) e quello SOV (ad es. turco, sherpa) sono i più attestati; relativamente diffuso è anche il tipo VSO (ad es. gallese), mentre gli altri sono abbastanza rari; l'ordine OSV, che viene comunemente considerato assente dalle lingue conosciute [cfr. Comrie </w:t>
      </w:r>
      <w:r w:rsidR="00762B22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1981], 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è invece attestato in latino (ad es. </w:t>
      </w:r>
      <w:r w:rsidR="00762B22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Marium pater amat), 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per quanto l'ordine non marcate di nor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 assunto per questa lingua re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sti SOV</w:t>
      </w:r>
      <w:r w:rsidR="00D90BF9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. In alcuni casi, le lingue pre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sentano ordini basici dei costituenti divers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 a seconda del contesto sintat</w:t>
      </w:r>
      <w:r w:rsidR="00762B22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tico; in tal senso, tipico è il caso del tedesco, che ha l'ordine SVO nelle frasi principali, ma quello SOV in quelle subordinate. Il 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riconoscimento della </w:t>
      </w:r>
      <w:r w:rsidR="00B4397C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come disci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plina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autonoma appartiene già alla ri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flessio</w:t>
      </w:r>
      <w:r w:rsidR="00D90BF9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ne grammaticale antica. Inizial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mente, </w:t>
      </w:r>
      <w:r w:rsidR="00B4397C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syntaxis 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indicava in greco ogni tipo di organizzazione strutturata del materiale linguistico: sequenza delle parole nella frase, ma anch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 → com</w:t>
      </w:r>
      <w:r w:rsidR="00A14914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posi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zione lessicale, → reggenza ver</w:t>
      </w:r>
      <w:r w:rsidR="00A14914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bale, →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paradigma casuale, ecc. Sol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tanto co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 gli stoici si attua la separa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zione del dominio sintattico da quello morfologico, mantenuta dai grammatici lat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ini, i quali, pur nel riconosci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mento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delle diversità strutturali esi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stenti tra le due lingue classiche, fon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damentalmente continuano a muo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versi sulle linee teoriche elaborate dai Greci,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accentuandone il carattere nor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mativo e formalistico. Da rilevare che il termine tecnico greco </w:t>
      </w:r>
      <w:r w:rsidR="00B4397C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syntaxis 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viene tradotto in latino con </w:t>
      </w:r>
      <w:r w:rsidR="00B4397C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constructio. 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grammatiche speculative medioe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vali sono caratterizzate dal prevalere dell'interesse logico e semantico su quello formale, di diretta tradizione classica; particolare attenzione viene riservata allo studio delle 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lastRenderedPageBreak/>
        <w:t>congruenze semantico-sintattiche all'interno della frase, con l'esplicito riconoscimento dell'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inaccettabilità di sequenze for</w:t>
      </w:r>
      <w:r w:rsidR="00B4397C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malm</w:t>
      </w:r>
      <w:r w:rsidR="0009228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ente corrette quali *"La pietra</w:t>
      </w:r>
    </w:p>
    <w:p w:rsidR="00092287" w:rsidRDefault="00092287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673</w:t>
      </w:r>
    </w:p>
    <w:p w:rsidR="00B4397C" w:rsidRPr="00386C0C" w:rsidRDefault="00B4397C" w:rsidP="00A14914">
      <w:pPr>
        <w:pStyle w:val="Style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ama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il ragazzo" (cfr. Tommaso di Er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furt). L'interpretazione razionalistica della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troverà la sua più completa espressione nella grammatica di Port-Royal </w:t>
      </w:r>
      <w:r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(1660):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la grammatica è fondata sulla logica, con pieno recupero della dottrina aristotelica basata sui rap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porti tra linguaggio e pensiero; risale tra l'a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ltro a quest'epoca l'introduzio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ne nella terminologia grammaticale di -&gt; soggetto e -&gt; predicato (termini però g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ià presenti in Boezio), che ven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gono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 costituire i due membri fonda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mentali della frase, come pure del giudizio logico. Lo studio della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tin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ua a presentare una spiccata im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pronta razionalistica e logicizzante anche nel secolo seguente; le lingue di riferi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mento sono il latino ed il fran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cese, che assurge al rango di lingua modell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o, con cui confrontare ogni al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tra struttura.</w:t>
      </w:r>
    </w:p>
    <w:p w:rsidR="00231611" w:rsidRPr="00386C0C" w:rsidRDefault="00B4397C" w:rsidP="00A14914">
      <w:pPr>
        <w:spacing w:after="0" w:line="360" w:lineRule="auto"/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Soltanto nel se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colo scorso, con l'av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vento 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della linguistica storico-compa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rativ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a, vengono abbandonati i pregiu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dizi razionalistici, mentre l'analisi si orienta verso la psicologia e verso la fisio</w:t>
      </w:r>
      <w:r w:rsidR="00F42001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logia. Le lingue indoeuropee an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tiche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costituiscono l'oggetto princi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pale di studio in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s, 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come pure in fone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tica e morfologia. I risultati raggiunti dalla 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storica ottocentesca sono però nett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amente inferiori a quelli conse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guiti negli altri ambiti, anche in ragio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ne della pluralità di approcci che essa manifesta (cfr. l'epiteto di </w:t>
      </w:r>
      <w:r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Mischsyn-tax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coniato da Ries </w:t>
      </w:r>
      <w:r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[1894]),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non sem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pre sorretti da una solida impalcatura teorica; tuttavia, lo storicismo tipico dell'epoca favorisce la raccolta di una grande messe di dati empirici, anche appartenenti a stadi linguistici diversi [cfr. Wackernagel </w:t>
      </w:r>
      <w:r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1926-28]. 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 que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sto periodo viene inoltre avviato lo studio del periodo, la cui struttura è considerata equivalente a quella della frase semplice: la proposizione subor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dinata causale equivale al comple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mento di causa, quella temporale al complem</w:t>
      </w:r>
      <w:r w:rsidR="007D3932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ento di tempo, e così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via.</w:t>
      </w:r>
    </w:p>
    <w:p w:rsidR="00D94618" w:rsidRPr="00386C0C" w:rsidRDefault="00B4397C" w:rsidP="00A149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Nel N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ovecento, l'avvento dello strut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turalismo segna l'imporsi di nuove tendenze anche in </w:t>
      </w:r>
      <w:r w:rsidRPr="008255A7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>s</w:t>
      </w:r>
      <w:r w:rsidR="008255A7" w:rsidRPr="008255A7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>intassi</w:t>
      </w:r>
      <w:r w:rsidRPr="008255A7">
        <w:rPr>
          <w:rStyle w:val="FontStyle11"/>
          <w:rFonts w:ascii="Times New Roman" w:hAnsi="Times New Roman" w:cs="Times New Roman"/>
          <w:b w:val="0"/>
          <w:sz w:val="24"/>
          <w:szCs w:val="24"/>
          <w:lang w:val="it-IT" w:eastAsia="it-IT"/>
        </w:rPr>
        <w:t>,</w:t>
      </w:r>
      <w:r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con il prevalere dell'interesse sincronico su quello diacronico, e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la parallela distinzione tra -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→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invarianti e varianti linguisti</w:t>
      </w:r>
      <w:r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che, a tutti i livelli di analisi. 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Nell'am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bito della Scuola di Praga, Mathesius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[1936]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elabora una teoria sintattica funzi</w:t>
      </w:r>
      <w:r w:rsidR="008255A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onale, basata sulla contrapposi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zione -&gt; tema/rema, ancor oggi in uso 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 ambito funzionalista (-» fun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zionalismo); a carattere funzionale è anche la </w:t>
      </w:r>
      <w:r w:rsidR="00D94618" w:rsidRPr="00386C0C">
        <w:rPr>
          <w:rStyle w:val="FontStyle11"/>
          <w:rFonts w:ascii="Times New Roman" w:hAnsi="Times New Roman" w:cs="Times New Roman"/>
          <w:sz w:val="24"/>
          <w:szCs w:val="24"/>
          <w:lang w:val="it-IT" w:eastAsia="it-IT"/>
        </w:rPr>
        <w:t xml:space="preserve">s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proposta da Martinet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[i960; 1962],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basata sulla nozione teorica di -&gt; monema. Una posizione a sé st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ante occupa il modello sintatti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co di Tesnière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[1959], 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in cui ogni fra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se viene rappresentata formalmente med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iante una struttura di dipenden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ze reciproche, chiamata stemma, che illustra i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rapporti gerarchici e le -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→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va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lenze e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spresse dagli -</w:t>
      </w:r>
      <w:r w:rsidR="000F5A48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→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 attanti. Carat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teri più tipicamente improntati al -*' distribuzionalismo ed al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lastRenderedPageBreak/>
        <w:t xml:space="preserve">rifiuto del mentalismo 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presenta lo strutturali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smo americano. Il suo caposcuola, cioè Bloomfield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[1933], </w:t>
      </w:r>
      <w:r w:rsidR="008255A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dopo aver ri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fiutato la tradizionale adozione della parola </w:t>
      </w:r>
      <w:r w:rsidR="008F2D3F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come unità sintattica, da sosti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tuire con morfema ed -&gt; enunciato (ingl. </w:t>
      </w:r>
      <w:r w:rsidR="00D94618" w:rsidRPr="00386C0C">
        <w:rPr>
          <w:rStyle w:val="FontStyle12"/>
          <w:rFonts w:ascii="Times New Roman" w:hAnsi="Times New Roman" w:cs="Times New Roman"/>
          <w:sz w:val="24"/>
          <w:szCs w:val="24"/>
          <w:lang w:val="it-IT" w:eastAsia="it-IT"/>
        </w:rPr>
        <w:t xml:space="preserve">utterance),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classifica le categorie gramma</w:t>
      </w:r>
      <w:r w:rsidR="008255A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ticali non in base a criteri se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mantici, ma in rapporto alle loro pro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prietà combinatorie. Sulla linea già indicata da Bloomfield, Wells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[1947]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giunge a proporre un'analisi in -+ co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stituenti immediati piuttosto com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>plessa, in base alla quale la struttura della frase non è più semplicemente lineare, ma gerarch</w:t>
      </w:r>
      <w:r w:rsidR="008255A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ica, e rappresenta</w:t>
      </w:r>
      <w:bookmarkStart w:id="0" w:name="_GoBack"/>
      <w:bookmarkEnd w:id="0"/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bil</w:t>
      </w:r>
      <w:r w:rsidR="008255A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e formalmente mediante un -» al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bero sintattico (o grafo). Questo tipo di ap</w:t>
      </w:r>
      <w:r w:rsidR="008255A7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proccio viene ulteriormente svi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 xml:space="preserve">luppato da Harris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 xml:space="preserve">[1957] 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t>che pone, per alcuni aspetti almeno, le basi del</w:t>
      </w:r>
      <w:r w:rsidR="00D94618" w:rsidRPr="00386C0C">
        <w:rPr>
          <w:rStyle w:val="FontStyle14"/>
          <w:rFonts w:ascii="Times New Roman" w:hAnsi="Times New Roman" w:cs="Times New Roman"/>
          <w:sz w:val="24"/>
          <w:szCs w:val="24"/>
          <w:lang w:val="it-IT" w:eastAsia="it-IT"/>
        </w:rPr>
        <w:softHyphen/>
        <w:t xml:space="preserve">la teoria generativo-trasformazionale elaborata da Chomsky </w:t>
      </w:r>
      <w:r w:rsidR="00D94618" w:rsidRPr="00386C0C">
        <w:rPr>
          <w:rStyle w:val="FontStyle15"/>
          <w:rFonts w:ascii="Times New Roman" w:hAnsi="Times New Roman" w:cs="Times New Roman"/>
          <w:sz w:val="24"/>
          <w:szCs w:val="24"/>
          <w:lang w:val="it-IT" w:eastAsia="it-IT"/>
        </w:rPr>
        <w:t>[1957].</w:t>
      </w:r>
    </w:p>
    <w:sectPr w:rsidR="00D94618" w:rsidRPr="0038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F9"/>
    <w:rsid w:val="0006181E"/>
    <w:rsid w:val="00092287"/>
    <w:rsid w:val="000F5A48"/>
    <w:rsid w:val="001C43E7"/>
    <w:rsid w:val="00231611"/>
    <w:rsid w:val="00314BC5"/>
    <w:rsid w:val="00386C0C"/>
    <w:rsid w:val="003E7DFB"/>
    <w:rsid w:val="004B791F"/>
    <w:rsid w:val="004C72A8"/>
    <w:rsid w:val="00504335"/>
    <w:rsid w:val="00580230"/>
    <w:rsid w:val="00762B22"/>
    <w:rsid w:val="007D3932"/>
    <w:rsid w:val="008255A7"/>
    <w:rsid w:val="008F2D3F"/>
    <w:rsid w:val="009828D7"/>
    <w:rsid w:val="00A14914"/>
    <w:rsid w:val="00B0176C"/>
    <w:rsid w:val="00B4397C"/>
    <w:rsid w:val="00BB6FF9"/>
    <w:rsid w:val="00D90BF9"/>
    <w:rsid w:val="00D94618"/>
    <w:rsid w:val="00DF20F2"/>
    <w:rsid w:val="00F10172"/>
    <w:rsid w:val="00F31367"/>
    <w:rsid w:val="00F42001"/>
    <w:rsid w:val="00F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4585-A520-42EB-8DB8-5C4C0B8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5">
    <w:name w:val="Style5"/>
    <w:basedOn w:val="Normln"/>
    <w:uiPriority w:val="99"/>
    <w:rsid w:val="00BB6FF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BB6FF9"/>
    <w:rPr>
      <w:rFonts w:ascii="Garamond" w:hAnsi="Garamond" w:cs="Garamond" w:hint="default"/>
      <w:b/>
      <w:bCs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BB6FF9"/>
    <w:rPr>
      <w:rFonts w:ascii="Garamond" w:hAnsi="Garamond" w:cs="Garamond" w:hint="default"/>
      <w:i/>
      <w:iCs/>
      <w:sz w:val="18"/>
      <w:szCs w:val="18"/>
    </w:rPr>
  </w:style>
  <w:style w:type="character" w:customStyle="1" w:styleId="FontStyle14">
    <w:name w:val="Font Style14"/>
    <w:basedOn w:val="Standardnpsmoodstavce"/>
    <w:uiPriority w:val="99"/>
    <w:rsid w:val="00BB6FF9"/>
    <w:rPr>
      <w:rFonts w:ascii="Garamond" w:hAnsi="Garamond" w:cs="Garamond" w:hint="default"/>
      <w:sz w:val="18"/>
      <w:szCs w:val="18"/>
    </w:rPr>
  </w:style>
  <w:style w:type="character" w:customStyle="1" w:styleId="FontStyle18">
    <w:name w:val="Font Style18"/>
    <w:basedOn w:val="Standardnpsmoodstavce"/>
    <w:uiPriority w:val="99"/>
    <w:rsid w:val="00BB6FF9"/>
    <w:rPr>
      <w:rFonts w:ascii="Georgia" w:hAnsi="Georgia" w:cs="Georgia" w:hint="default"/>
      <w:b/>
      <w:bCs/>
      <w:sz w:val="16"/>
      <w:szCs w:val="16"/>
    </w:rPr>
  </w:style>
  <w:style w:type="paragraph" w:customStyle="1" w:styleId="Style2">
    <w:name w:val="Style2"/>
    <w:basedOn w:val="Normln"/>
    <w:uiPriority w:val="99"/>
    <w:rsid w:val="00BB6FF9"/>
    <w:pPr>
      <w:widowControl w:val="0"/>
      <w:autoSpaceDE w:val="0"/>
      <w:autoSpaceDN w:val="0"/>
      <w:adjustRightInd w:val="0"/>
      <w:spacing w:after="0" w:line="193" w:lineRule="exact"/>
      <w:jc w:val="both"/>
    </w:pPr>
    <w:rPr>
      <w:rFonts w:ascii="Garamond" w:eastAsiaTheme="minorEastAsia" w:hAnsi="Garamond"/>
      <w:sz w:val="24"/>
      <w:szCs w:val="24"/>
      <w:lang w:eastAsia="cs-CZ"/>
    </w:rPr>
  </w:style>
  <w:style w:type="character" w:customStyle="1" w:styleId="FontStyle15">
    <w:name w:val="Font Style15"/>
    <w:basedOn w:val="Standardnpsmoodstavce"/>
    <w:uiPriority w:val="99"/>
    <w:rsid w:val="00BB6FF9"/>
    <w:rPr>
      <w:rFonts w:ascii="Georgia" w:hAnsi="Georgia" w:cs="Georgia" w:hint="default"/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F92093"/>
    <w:rPr>
      <w:color w:val="000080"/>
      <w:u w:val="single"/>
    </w:rPr>
  </w:style>
  <w:style w:type="character" w:customStyle="1" w:styleId="FontStyle13">
    <w:name w:val="Font Style13"/>
    <w:basedOn w:val="Standardnpsmoodstavce"/>
    <w:uiPriority w:val="99"/>
    <w:rsid w:val="00F10172"/>
    <w:rPr>
      <w:rFonts w:ascii="Arial Black" w:hAnsi="Arial Black" w:cs="Arial Black" w:hint="default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6A42-A785-47BC-8C20-F51AF88F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1805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Klímová</cp:lastModifiedBy>
  <cp:revision>26</cp:revision>
  <cp:lastPrinted>2015-09-17T11:42:00Z</cp:lastPrinted>
  <dcterms:created xsi:type="dcterms:W3CDTF">2012-05-23T12:18:00Z</dcterms:created>
  <dcterms:modified xsi:type="dcterms:W3CDTF">2015-09-17T12:06:00Z</dcterms:modified>
</cp:coreProperties>
</file>