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E1" w:rsidRPr="00B24CE1" w:rsidRDefault="00B24CE1" w:rsidP="00B24CE1">
      <w:pPr>
        <w:spacing w:before="100" w:beforeAutospacing="1" w:after="100" w:afterAutospacing="1"/>
        <w:jc w:val="both"/>
        <w:outlineLvl w:val="0"/>
        <w:rPr>
          <w:rFonts w:ascii="Times New Roman" w:eastAsia="Times New Roman" w:hAnsi="Times New Roman" w:cs="Times New Roman"/>
          <w:b/>
          <w:bCs/>
          <w:kern w:val="36"/>
          <w:sz w:val="24"/>
          <w:szCs w:val="24"/>
          <w:u w:val="single"/>
          <w:lang w:val="en-GB" w:eastAsia="cs-CZ"/>
        </w:rPr>
      </w:pPr>
      <w:r w:rsidRPr="00B24CE1">
        <w:rPr>
          <w:rFonts w:ascii="Times New Roman" w:eastAsia="Times New Roman" w:hAnsi="Times New Roman" w:cs="Times New Roman"/>
          <w:b/>
          <w:bCs/>
          <w:kern w:val="36"/>
          <w:sz w:val="24"/>
          <w:szCs w:val="24"/>
          <w:u w:val="single"/>
          <w:lang w:val="en-GB" w:eastAsia="cs-CZ"/>
        </w:rPr>
        <w:t>Housing policy</w:t>
      </w:r>
    </w:p>
    <w:p w:rsidR="00B24CE1" w:rsidRPr="00B24CE1" w:rsidRDefault="00B24CE1" w:rsidP="00B24CE1">
      <w:p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sz w:val="24"/>
          <w:szCs w:val="24"/>
          <w:lang w:val="en-GB" w:eastAsia="cs-CZ"/>
        </w:rPr>
        <w:t>The principle and the objective of the housing policy consist, in particular, in building up desirable legal, institutional and fiscal environment for the activities of all actors on the housing market. The State should not restrain economic functioning of the housing market; it, however, must simultaneously take supportive steps targeted on those groups of households, which cannot secure their housing on the market by themselves. The housing policy concept approved by the Government constitutes a binding strategic document for all Ministries, which sets forth basic directions of the development and specific objectives in the field of housing.</w:t>
      </w:r>
    </w:p>
    <w:p w:rsidR="00B24CE1" w:rsidRPr="00B24CE1" w:rsidRDefault="00B24CE1" w:rsidP="00B24CE1">
      <w:p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sz w:val="24"/>
          <w:szCs w:val="24"/>
          <w:u w:val="single"/>
          <w:lang w:val="en-GB" w:eastAsia="cs-CZ"/>
        </w:rPr>
        <w:t>From the point of view of the actors on the housing market the objectives of housing policy are as follows</w:t>
      </w:r>
      <w:r w:rsidRPr="00B24CE1">
        <w:rPr>
          <w:rFonts w:ascii="Times New Roman" w:eastAsia="Times New Roman" w:hAnsi="Times New Roman" w:cs="Times New Roman"/>
          <w:sz w:val="24"/>
          <w:szCs w:val="24"/>
          <w:lang w:val="en-GB" w:eastAsia="cs-CZ"/>
        </w:rPr>
        <w:t>:</w:t>
      </w:r>
    </w:p>
    <w:p w:rsidR="00B24CE1" w:rsidRPr="00B24CE1" w:rsidRDefault="00B24CE1" w:rsidP="00B24CE1">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b/>
          <w:sz w:val="24"/>
          <w:szCs w:val="24"/>
          <w:lang w:val="en-GB" w:eastAsia="cs-CZ"/>
        </w:rPr>
        <w:t>Functioning of the housing market</w:t>
      </w:r>
      <w:r w:rsidRPr="00B24CE1">
        <w:rPr>
          <w:rFonts w:ascii="Times New Roman" w:eastAsia="Times New Roman" w:hAnsi="Times New Roman" w:cs="Times New Roman"/>
          <w:sz w:val="24"/>
          <w:szCs w:val="24"/>
          <w:lang w:val="en-GB" w:eastAsia="cs-CZ"/>
        </w:rPr>
        <w:t>, including relevant legal arrangements for owner-occupied, rented as well as cooperative housing, enforceability of laws included; elimination of price and legal distortions in the segment of rented housing is a constituent element of this objective,</w:t>
      </w:r>
    </w:p>
    <w:p w:rsidR="00B24CE1" w:rsidRPr="00B24CE1" w:rsidRDefault="00B24CE1" w:rsidP="00B24CE1">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b/>
          <w:sz w:val="24"/>
          <w:szCs w:val="24"/>
          <w:lang w:val="en-GB" w:eastAsia="cs-CZ"/>
        </w:rPr>
        <w:t>Improvement of financial affordability</w:t>
      </w:r>
      <w:r w:rsidRPr="00B24CE1">
        <w:rPr>
          <w:rFonts w:ascii="Times New Roman" w:eastAsia="Times New Roman" w:hAnsi="Times New Roman" w:cs="Times New Roman"/>
          <w:sz w:val="24"/>
          <w:szCs w:val="24"/>
          <w:lang w:val="en-GB" w:eastAsia="cs-CZ"/>
        </w:rPr>
        <w:t xml:space="preserve"> </w:t>
      </w:r>
      <w:r w:rsidRPr="00B24CE1">
        <w:rPr>
          <w:rFonts w:ascii="Times New Roman" w:eastAsia="Times New Roman" w:hAnsi="Times New Roman" w:cs="Times New Roman"/>
          <w:b/>
          <w:sz w:val="24"/>
          <w:szCs w:val="24"/>
          <w:lang w:val="en-GB" w:eastAsia="cs-CZ"/>
        </w:rPr>
        <w:t>of housing</w:t>
      </w:r>
      <w:r w:rsidRPr="00B24CE1">
        <w:rPr>
          <w:rFonts w:ascii="Times New Roman" w:eastAsia="Times New Roman" w:hAnsi="Times New Roman" w:cs="Times New Roman"/>
          <w:sz w:val="24"/>
          <w:szCs w:val="24"/>
          <w:lang w:val="en-GB" w:eastAsia="cs-CZ"/>
        </w:rPr>
        <w:t xml:space="preserve"> for households</w:t>
      </w:r>
      <w:r w:rsidRPr="00B24CE1">
        <w:rPr>
          <w:rFonts w:ascii="Times New Roman" w:eastAsia="Times New Roman" w:hAnsi="Times New Roman" w:cs="Times New Roman"/>
          <w:b/>
          <w:bCs/>
          <w:sz w:val="24"/>
          <w:szCs w:val="24"/>
          <w:lang w:val="en-GB" w:eastAsia="cs-CZ"/>
        </w:rPr>
        <w:t>,</w:t>
      </w:r>
      <w:r w:rsidRPr="00B24CE1">
        <w:rPr>
          <w:rFonts w:ascii="Times New Roman" w:eastAsia="Times New Roman" w:hAnsi="Times New Roman" w:cs="Times New Roman"/>
          <w:sz w:val="24"/>
          <w:szCs w:val="24"/>
          <w:lang w:val="en-GB" w:eastAsia="cs-CZ"/>
        </w:rPr>
        <w:t xml:space="preserve"> including social benefits in the field of housing compensating for overall expenditures on housing of a household with lower income,</w:t>
      </w:r>
    </w:p>
    <w:p w:rsidR="00B24CE1" w:rsidRPr="00B24CE1" w:rsidRDefault="00B24CE1" w:rsidP="00B24CE1">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b/>
          <w:sz w:val="24"/>
          <w:szCs w:val="24"/>
          <w:lang w:val="en-GB" w:eastAsia="cs-CZ"/>
        </w:rPr>
        <w:t>Enlargement of the offer</w:t>
      </w:r>
      <w:r w:rsidRPr="00B24CE1">
        <w:rPr>
          <w:rFonts w:ascii="Times New Roman" w:eastAsia="Times New Roman" w:hAnsi="Times New Roman" w:cs="Times New Roman"/>
          <w:sz w:val="24"/>
          <w:szCs w:val="24"/>
          <w:lang w:val="en-GB" w:eastAsia="cs-CZ"/>
        </w:rPr>
        <w:t xml:space="preserve"> of housing, even by means of support for a new construction, inclusive of construction of flats intended for social purposes,</w:t>
      </w:r>
    </w:p>
    <w:p w:rsidR="00B24CE1" w:rsidRPr="00B24CE1" w:rsidRDefault="00B24CE1" w:rsidP="00B24CE1">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b/>
          <w:sz w:val="24"/>
          <w:szCs w:val="24"/>
          <w:lang w:val="en-GB" w:eastAsia="cs-CZ"/>
        </w:rPr>
        <w:t>Betterment of the quality</w:t>
      </w:r>
      <w:r w:rsidRPr="00B24CE1">
        <w:rPr>
          <w:rFonts w:ascii="Times New Roman" w:eastAsia="Times New Roman" w:hAnsi="Times New Roman" w:cs="Times New Roman"/>
          <w:sz w:val="24"/>
          <w:szCs w:val="24"/>
          <w:lang w:val="en-GB" w:eastAsia="cs-CZ"/>
        </w:rPr>
        <w:t xml:space="preserve"> of housing, including assistance to the owners in management, maintenance, repairs and modernisation of the housing stock,</w:t>
      </w:r>
    </w:p>
    <w:p w:rsidR="00B24CE1" w:rsidRPr="00B24CE1" w:rsidRDefault="00B24CE1" w:rsidP="00B24CE1">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b/>
          <w:sz w:val="24"/>
          <w:szCs w:val="24"/>
          <w:lang w:val="en-GB" w:eastAsia="cs-CZ"/>
        </w:rPr>
        <w:t>On-going monitoring of the housing market</w:t>
      </w:r>
      <w:r w:rsidRPr="00B24CE1">
        <w:rPr>
          <w:rFonts w:ascii="Times New Roman" w:eastAsia="Times New Roman" w:hAnsi="Times New Roman" w:cs="Times New Roman"/>
          <w:sz w:val="24"/>
          <w:szCs w:val="24"/>
          <w:lang w:val="en-GB" w:eastAsia="cs-CZ"/>
        </w:rPr>
        <w:t>, as well as monitoring of efficiency and effectiveness of individual supportive instruments and adjustment thereof,</w:t>
      </w:r>
    </w:p>
    <w:p w:rsidR="00B24CE1" w:rsidRPr="00B24CE1" w:rsidRDefault="00B24CE1" w:rsidP="00B24CE1">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b/>
          <w:sz w:val="24"/>
          <w:szCs w:val="24"/>
          <w:lang w:val="en-GB" w:eastAsia="cs-CZ"/>
        </w:rPr>
        <w:t>Application of non-discriminatory rules</w:t>
      </w:r>
      <w:r w:rsidRPr="00B24CE1">
        <w:rPr>
          <w:rFonts w:ascii="Times New Roman" w:eastAsia="Times New Roman" w:hAnsi="Times New Roman" w:cs="Times New Roman"/>
          <w:sz w:val="24"/>
          <w:szCs w:val="24"/>
          <w:lang w:val="en-GB" w:eastAsia="cs-CZ"/>
        </w:rPr>
        <w:t xml:space="preserve"> of the EU common market, conditions of competition included, and compatibility of public aid with Community laws.</w:t>
      </w:r>
    </w:p>
    <w:p w:rsidR="005B4308" w:rsidRDefault="00B24CE1" w:rsidP="00B24CE1">
      <w:pPr>
        <w:spacing w:before="100" w:beforeAutospacing="1" w:after="100" w:afterAutospacing="1"/>
        <w:jc w:val="both"/>
        <w:rPr>
          <w:rFonts w:ascii="Times New Roman" w:eastAsia="Times New Roman" w:hAnsi="Times New Roman" w:cs="Times New Roman"/>
          <w:sz w:val="24"/>
          <w:szCs w:val="24"/>
          <w:lang w:val="en-GB" w:eastAsia="cs-CZ"/>
        </w:rPr>
      </w:pPr>
      <w:r w:rsidRPr="00B24CE1">
        <w:rPr>
          <w:rFonts w:ascii="Times New Roman" w:eastAsia="Times New Roman" w:hAnsi="Times New Roman" w:cs="Times New Roman"/>
          <w:sz w:val="24"/>
          <w:szCs w:val="24"/>
          <w:lang w:val="en-GB" w:eastAsia="cs-CZ"/>
        </w:rPr>
        <w:t xml:space="preserve">The objectives mentioned above are accomplished by </w:t>
      </w:r>
      <w:r w:rsidRPr="00B24CE1">
        <w:rPr>
          <w:rFonts w:ascii="Times New Roman" w:eastAsia="Times New Roman" w:hAnsi="Times New Roman" w:cs="Times New Roman"/>
          <w:sz w:val="24"/>
          <w:szCs w:val="24"/>
          <w:u w:val="single"/>
          <w:lang w:val="en-GB" w:eastAsia="cs-CZ"/>
        </w:rPr>
        <w:t>legal regulations</w:t>
      </w:r>
      <w:r w:rsidRPr="00B24CE1">
        <w:rPr>
          <w:rFonts w:ascii="Times New Roman" w:eastAsia="Times New Roman" w:hAnsi="Times New Roman" w:cs="Times New Roman"/>
          <w:sz w:val="24"/>
          <w:szCs w:val="24"/>
          <w:lang w:val="en-GB" w:eastAsia="cs-CZ"/>
        </w:rPr>
        <w:t xml:space="preserve"> (Civil Code providing information on flat rent, Act on Unilateral Increase of Flat Rent, Act on the Ownership of Flats, etc.) and further by means of </w:t>
      </w:r>
      <w:r w:rsidRPr="00B24CE1">
        <w:rPr>
          <w:rFonts w:ascii="Times New Roman" w:eastAsia="Times New Roman" w:hAnsi="Times New Roman" w:cs="Times New Roman"/>
          <w:sz w:val="24"/>
          <w:szCs w:val="24"/>
          <w:u w:val="single"/>
          <w:lang w:val="en-GB" w:eastAsia="cs-CZ"/>
        </w:rPr>
        <w:t>supportive instruments</w:t>
      </w:r>
      <w:r w:rsidRPr="00B24CE1">
        <w:rPr>
          <w:rFonts w:ascii="Times New Roman" w:eastAsia="Times New Roman" w:hAnsi="Times New Roman" w:cs="Times New Roman"/>
          <w:sz w:val="24"/>
          <w:szCs w:val="24"/>
          <w:lang w:val="en-GB" w:eastAsia="cs-CZ"/>
        </w:rPr>
        <w:t xml:space="preserve"> in the area of housing. They involve programmes financed from the State budget through the Ministry for Regional Development of the Czech Republic, as well as the aid funded from the means of the State Housing Development Fund on the basis of individual Government Executive Orders specifying terms and extent of particular forms of the assistance.</w:t>
      </w:r>
    </w:p>
    <w:p w:rsidR="005B4308" w:rsidRPr="005B4308" w:rsidRDefault="005B4308" w:rsidP="00B24CE1">
      <w:pPr>
        <w:spacing w:before="100" w:beforeAutospacing="1" w:after="100" w:afterAutospacing="1"/>
        <w:jc w:val="both"/>
        <w:rPr>
          <w:rFonts w:ascii="Times New Roman" w:hAnsi="Times New Roman" w:cs="Times New Roman"/>
          <w:b/>
          <w:sz w:val="24"/>
          <w:szCs w:val="24"/>
          <w:u w:val="single"/>
          <w:lang w:val="en-GB"/>
        </w:rPr>
      </w:pPr>
      <w:r w:rsidRPr="005B4308">
        <w:rPr>
          <w:rFonts w:ascii="Times New Roman" w:hAnsi="Times New Roman" w:cs="Times New Roman"/>
          <w:b/>
          <w:bCs/>
          <w:sz w:val="24"/>
          <w:szCs w:val="24"/>
          <w:u w:val="single"/>
          <w:lang w:val="en-GB"/>
        </w:rPr>
        <w:t>Urbanization</w:t>
      </w:r>
      <w:r w:rsidR="008B4946">
        <w:rPr>
          <w:rFonts w:ascii="Times New Roman" w:hAnsi="Times New Roman" w:cs="Times New Roman"/>
          <w:b/>
          <w:sz w:val="24"/>
          <w:szCs w:val="24"/>
          <w:u w:val="single"/>
          <w:lang w:val="en-GB"/>
        </w:rPr>
        <w:t xml:space="preserve"> (</w:t>
      </w:r>
      <w:r w:rsidRPr="005B4308">
        <w:rPr>
          <w:rFonts w:ascii="Times New Roman" w:hAnsi="Times New Roman" w:cs="Times New Roman"/>
          <w:b/>
          <w:bCs/>
          <w:sz w:val="24"/>
          <w:szCs w:val="24"/>
          <w:u w:val="single"/>
          <w:lang w:val="en-GB"/>
        </w:rPr>
        <w:t>urbanisation</w:t>
      </w:r>
      <w:r w:rsidRPr="005B4308">
        <w:rPr>
          <w:rFonts w:ascii="Times New Roman" w:hAnsi="Times New Roman" w:cs="Times New Roman"/>
          <w:b/>
          <w:sz w:val="24"/>
          <w:szCs w:val="24"/>
          <w:u w:val="single"/>
          <w:lang w:val="en-GB"/>
        </w:rPr>
        <w:t xml:space="preserve">) </w:t>
      </w:r>
    </w:p>
    <w:p w:rsidR="005B4308" w:rsidRPr="005B4308" w:rsidRDefault="005B4308" w:rsidP="00B24CE1">
      <w:pPr>
        <w:spacing w:before="100" w:beforeAutospacing="1" w:after="100" w:afterAutospacing="1"/>
        <w:jc w:val="both"/>
        <w:rPr>
          <w:rFonts w:ascii="Times New Roman" w:eastAsia="Times New Roman" w:hAnsi="Times New Roman" w:cs="Times New Roman"/>
          <w:sz w:val="24"/>
          <w:szCs w:val="24"/>
          <w:lang w:val="en-GB" w:eastAsia="cs-CZ"/>
        </w:rPr>
      </w:pPr>
      <w:proofErr w:type="gramStart"/>
      <w:r w:rsidRPr="005B4308">
        <w:rPr>
          <w:rFonts w:ascii="Times New Roman" w:hAnsi="Times New Roman" w:cs="Times New Roman"/>
          <w:sz w:val="24"/>
          <w:szCs w:val="24"/>
          <w:lang w:val="en-GB"/>
        </w:rPr>
        <w:t>refers</w:t>
      </w:r>
      <w:proofErr w:type="gramEnd"/>
      <w:r w:rsidRPr="005B4308">
        <w:rPr>
          <w:rFonts w:ascii="Times New Roman" w:hAnsi="Times New Roman" w:cs="Times New Roman"/>
          <w:sz w:val="24"/>
          <w:szCs w:val="24"/>
          <w:lang w:val="en-GB"/>
        </w:rPr>
        <w:t xml:space="preserve"> to the population shift from </w:t>
      </w:r>
      <w:r w:rsidRPr="003E46A8">
        <w:rPr>
          <w:rFonts w:ascii="Times New Roman" w:hAnsi="Times New Roman" w:cs="Times New Roman"/>
          <w:sz w:val="24"/>
          <w:szCs w:val="24"/>
          <w:u w:val="single"/>
          <w:lang w:val="en-GB"/>
        </w:rPr>
        <w:t>rural areas</w:t>
      </w:r>
      <w:r w:rsidRPr="005B4308">
        <w:rPr>
          <w:rFonts w:ascii="Times New Roman" w:hAnsi="Times New Roman" w:cs="Times New Roman"/>
          <w:sz w:val="24"/>
          <w:szCs w:val="24"/>
          <w:lang w:val="en-GB"/>
        </w:rPr>
        <w:t xml:space="preserve"> to </w:t>
      </w:r>
      <w:hyperlink r:id="rId5" w:tooltip="Urban area" w:history="1">
        <w:r w:rsidRPr="005B4308">
          <w:rPr>
            <w:rStyle w:val="Hypertextovodkaz"/>
            <w:rFonts w:ascii="Times New Roman" w:hAnsi="Times New Roman" w:cs="Times New Roman"/>
            <w:color w:val="auto"/>
            <w:sz w:val="24"/>
            <w:szCs w:val="24"/>
            <w:lang w:val="en-GB"/>
          </w:rPr>
          <w:t>urban areas</w:t>
        </w:r>
      </w:hyperlink>
      <w:r w:rsidRPr="005B4308">
        <w:rPr>
          <w:rFonts w:ascii="Times New Roman" w:hAnsi="Times New Roman" w:cs="Times New Roman"/>
          <w:sz w:val="24"/>
          <w:szCs w:val="24"/>
          <w:lang w:val="en-GB"/>
        </w:rPr>
        <w:t>, the decrease in the proportion of people living in rural areas, and the ways in which each society adapts to this change.</w:t>
      </w:r>
      <w:r>
        <w:rPr>
          <w:rFonts w:ascii="Times New Roman" w:hAnsi="Times New Roman" w:cs="Times New Roman"/>
          <w:sz w:val="24"/>
          <w:szCs w:val="24"/>
          <w:vertAlign w:val="superscript"/>
          <w:lang w:val="en-GB"/>
        </w:rPr>
        <w:t xml:space="preserve"> </w:t>
      </w:r>
      <w:r w:rsidRPr="005B4308">
        <w:rPr>
          <w:rFonts w:ascii="Times New Roman" w:hAnsi="Times New Roman" w:cs="Times New Roman"/>
          <w:sz w:val="24"/>
          <w:szCs w:val="24"/>
          <w:lang w:val="en-GB"/>
        </w:rPr>
        <w:t>It is predominantly the process by which towns and cities are formed and become larger as more people begin living and working in central areas.</w:t>
      </w:r>
    </w:p>
    <w:sectPr w:rsidR="005B4308" w:rsidRPr="005B4308"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5C23"/>
    <w:multiLevelType w:val="multilevel"/>
    <w:tmpl w:val="FAF2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24CE1"/>
    <w:rsid w:val="001F6424"/>
    <w:rsid w:val="003E46A8"/>
    <w:rsid w:val="00591A76"/>
    <w:rsid w:val="005B4308"/>
    <w:rsid w:val="008B4946"/>
    <w:rsid w:val="00A66356"/>
    <w:rsid w:val="00B24CE1"/>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customStyle="1" w:styleId="text-bold">
    <w:name w:val="text-bold"/>
    <w:basedOn w:val="Normln"/>
    <w:rsid w:val="00B24C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24C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B4308"/>
    <w:rPr>
      <w:color w:val="0000FF"/>
      <w:u w:val="single"/>
    </w:rPr>
  </w:style>
</w:styles>
</file>

<file path=word/webSettings.xml><?xml version="1.0" encoding="utf-8"?>
<w:webSettings xmlns:r="http://schemas.openxmlformats.org/officeDocument/2006/relationships" xmlns:w="http://schemas.openxmlformats.org/wordprocessingml/2006/main">
  <w:divs>
    <w:div w:id="1842354380">
      <w:bodyDiv w:val="1"/>
      <w:marLeft w:val="0"/>
      <w:marRight w:val="0"/>
      <w:marTop w:val="0"/>
      <w:marBottom w:val="0"/>
      <w:divBdr>
        <w:top w:val="none" w:sz="0" w:space="0" w:color="auto"/>
        <w:left w:val="none" w:sz="0" w:space="0" w:color="auto"/>
        <w:bottom w:val="none" w:sz="0" w:space="0" w:color="auto"/>
        <w:right w:val="none" w:sz="0" w:space="0" w:color="auto"/>
      </w:divBdr>
      <w:divsChild>
        <w:div w:id="418600816">
          <w:marLeft w:val="0"/>
          <w:marRight w:val="0"/>
          <w:marTop w:val="0"/>
          <w:marBottom w:val="0"/>
          <w:divBdr>
            <w:top w:val="none" w:sz="0" w:space="0" w:color="auto"/>
            <w:left w:val="none" w:sz="0" w:space="0" w:color="auto"/>
            <w:bottom w:val="none" w:sz="0" w:space="0" w:color="auto"/>
            <w:right w:val="none" w:sz="0" w:space="0" w:color="auto"/>
          </w:divBdr>
          <w:divsChild>
            <w:div w:id="1268125080">
              <w:marLeft w:val="0"/>
              <w:marRight w:val="0"/>
              <w:marTop w:val="0"/>
              <w:marBottom w:val="0"/>
              <w:divBdr>
                <w:top w:val="none" w:sz="0" w:space="0" w:color="auto"/>
                <w:left w:val="none" w:sz="0" w:space="0" w:color="auto"/>
                <w:bottom w:val="none" w:sz="0" w:space="0" w:color="auto"/>
                <w:right w:val="none" w:sz="0" w:space="0" w:color="auto"/>
              </w:divBdr>
            </w:div>
          </w:divsChild>
        </w:div>
        <w:div w:id="716902023">
          <w:marLeft w:val="0"/>
          <w:marRight w:val="0"/>
          <w:marTop w:val="0"/>
          <w:marBottom w:val="0"/>
          <w:divBdr>
            <w:top w:val="none" w:sz="0" w:space="0" w:color="auto"/>
            <w:left w:val="none" w:sz="0" w:space="0" w:color="auto"/>
            <w:bottom w:val="none" w:sz="0" w:space="0" w:color="auto"/>
            <w:right w:val="none" w:sz="0" w:space="0" w:color="auto"/>
          </w:divBdr>
          <w:divsChild>
            <w:div w:id="2215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Urban_area"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2476</Characters>
  <Application>Microsoft Office Word</Application>
  <DocSecurity>0</DocSecurity>
  <Lines>20</Lines>
  <Paragraphs>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Housing policy</vt:lpstr>
    </vt:vector>
  </TitlesOfParts>
  <Company>ATC</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2020-05-19T17:12:00Z</dcterms:created>
  <dcterms:modified xsi:type="dcterms:W3CDTF">2020-05-19T17:23:00Z</dcterms:modified>
</cp:coreProperties>
</file>