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34" w:rsidRDefault="00082F34" w:rsidP="00082F34">
      <w:p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Vnitropodniková cena</w:t>
      </w:r>
      <w:r w:rsidR="00FA7FFC">
        <w:rPr>
          <w:rFonts w:ascii="Times New Roman" w:hAnsi="Times New Roman" w:cs="Times New Roman"/>
          <w:b/>
          <w:sz w:val="24"/>
          <w:u w:val="single"/>
        </w:rPr>
        <w:t xml:space="preserve"> (VPC)</w:t>
      </w:r>
      <w:r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jedná se o cenu uvnitř podniku. Zahrnuje součet všech nákladů, které podnik potřebuje na výrobu jednoho výrobku. Vnitropodniková cena se uvádí na jeden kus výrobku a vychází z plánovaných hodnot. </w:t>
      </w:r>
    </w:p>
    <w:p w:rsidR="00FA7FFC" w:rsidRDefault="00FA7FFC" w:rsidP="00082F34">
      <w:p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Zjednodušeně si můžeme vnitropodnikovou cenu vysvětlit na následujícím příkladu. Máme 3 střediska, ve kterém se vyrábí například židle. V jednom středisku se nakoupí deska na židli např. za 20 Kč/ks, obrousí se, takže energie odhadujeme například na 2 Kč/ks. Takže vnitropodniková cena v jednom středisku činí 22 Kč/ks. Tento nedokončený produkt se pošle do druhého střediska, kde se židle nalakuje. Koupě laku na jeden kus vyjde na 5 Kč/ks + mzda dělníka na 10 Kč/ks. Takže VPC ve druhém středisku činí 15 Kč/ks, celkově tedy vyrábím židli za 22 Kč/ks + 15 Kč/ks = 37 Kč/ks. Takto nedokončenou židli předám dalšímu odebírajícímu středisku, kterému vzniknou další náklady na prodej, montáž apod. To je zjednodušený princip VPC.</w:t>
      </w:r>
    </w:p>
    <w:p w:rsidR="00FA7FFC" w:rsidRPr="00082F34" w:rsidRDefault="00FA7FFC" w:rsidP="00082F34">
      <w:p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 w:rsidRPr="00FA7FFC">
        <w:rPr>
          <w:rFonts w:ascii="Times New Roman" w:hAnsi="Times New Roman" w:cs="Times New Roman"/>
          <w:b/>
          <w:sz w:val="24"/>
          <w:u w:val="single"/>
        </w:rPr>
        <w:t>Vnitropodnikový výsledek hospodaření (VVH)</w:t>
      </w:r>
      <w:r w:rsidR="000F170F">
        <w:rPr>
          <w:rFonts w:ascii="Times New Roman" w:hAnsi="Times New Roman" w:cs="Times New Roman"/>
          <w:sz w:val="24"/>
        </w:rPr>
        <w:t xml:space="preserve"> – k</w:t>
      </w:r>
      <w:r w:rsidR="000F170F">
        <w:rPr>
          <w:rFonts w:ascii="Times New Roman" w:hAnsi="Times New Roman" w:cs="Times New Roman"/>
          <w:sz w:val="24"/>
        </w:rPr>
        <w:t xml:space="preserve">lasický výsledek hospodaření vypočteme jako rozdíl mezi výnosy a náklady. Taktéž je tomu i v případě VVH. </w:t>
      </w:r>
      <w:r w:rsidR="000F170F">
        <w:rPr>
          <w:rFonts w:ascii="Times New Roman" w:hAnsi="Times New Roman" w:cs="Times New Roman"/>
          <w:sz w:val="24"/>
        </w:rPr>
        <w:t xml:space="preserve">Jedná se výsledek hospodaření uvnitř podniku, kdy neprodáváme výrobky externím zákazníkům, ale </w:t>
      </w:r>
      <w:proofErr w:type="gramStart"/>
      <w:r w:rsidR="000F170F">
        <w:rPr>
          <w:rFonts w:ascii="Times New Roman" w:hAnsi="Times New Roman" w:cs="Times New Roman"/>
          <w:sz w:val="24"/>
        </w:rPr>
        <w:t>pomyslně ,,prodáváme</w:t>
      </w:r>
      <w:proofErr w:type="gramEnd"/>
      <w:r w:rsidR="000F170F">
        <w:rPr>
          <w:rFonts w:ascii="Times New Roman" w:hAnsi="Times New Roman" w:cs="Times New Roman"/>
          <w:sz w:val="24"/>
        </w:rPr>
        <w:t xml:space="preserve"> a předáváme“ výrobky z jednoho střediska na druhé. Z tohoto důvodu se VVH vypočte jako rozdíl mezi plánovanými náklady a skutečnými náklady. Plánované náklady jsou považovány za výnosy a skutečné náklady za náklady. Co se týče těch výnosů, co by plánovaných nákladů, je to proto, že v jednom útvaru sestavím nedokončenou židli např. za 22 Kč/ks a tu pomyslně prodám dalšímu středisku, které dále pokračuje ve výrobě. A když něco někomu prodám, je to považováno za výnos. V rámci VVH se rozdíl mezi vnitropodnikovými výnosy a vnitropodnikovými náklady, tedy rozdíl mezi plánovanými a skutečnými náklady nenazývá zisk nebo ztráta, ale úspora či překročení. </w:t>
      </w:r>
    </w:p>
    <w:p w:rsidR="00082F34" w:rsidRDefault="00082F34" w:rsidP="00004FA5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004FA5" w:rsidRPr="00AA757C" w:rsidRDefault="00004FA5" w:rsidP="00004FA5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AC7760" w:rsidRDefault="00004FA5" w:rsidP="00004FA5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>Útvar Doprava zajišťuje přepravu, k dispozici má jeden typ a</w:t>
      </w:r>
      <w:r>
        <w:rPr>
          <w:rFonts w:ascii="Times New Roman" w:hAnsi="Times New Roman" w:cs="Times New Roman"/>
          <w:sz w:val="24"/>
        </w:rPr>
        <w:t>utomobilu. Pro 1. čtvrtletí 2019</w:t>
      </w:r>
      <w:r w:rsidRPr="00784BB2">
        <w:rPr>
          <w:rFonts w:ascii="Times New Roman" w:hAnsi="Times New Roman" w:cs="Times New Roman"/>
          <w:sz w:val="24"/>
        </w:rPr>
        <w:t xml:space="preserve"> byl stanoven plán činnosti útvaru </w:t>
      </w:r>
      <w:r>
        <w:rPr>
          <w:rFonts w:ascii="Times New Roman" w:hAnsi="Times New Roman" w:cs="Times New Roman"/>
          <w:sz w:val="24"/>
        </w:rPr>
        <w:t xml:space="preserve">na 60 000 km. Cena pro externí zákazníky činí 22,50 Kč za kilometr, což je cena obvyklá na trhu. </w:t>
      </w:r>
    </w:p>
    <w:p w:rsidR="00004FA5" w:rsidRDefault="00004FA5" w:rsidP="00AC7760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>Norma spotřeby pohonných hmot je 35 litrů nafty na 100 km, předpokládaná nákupní cena je 34,50 Kč za litr. Rozpočet režijních nákladů je stanoven ve výši 355 500 Kč, z toho 175 500 jsou variabilní náklady útv</w:t>
      </w:r>
      <w:r>
        <w:rPr>
          <w:rFonts w:ascii="Times New Roman" w:hAnsi="Times New Roman" w:cs="Times New Roman"/>
          <w:sz w:val="24"/>
        </w:rPr>
        <w:t xml:space="preserve">aru a 180 000 Kč náklady fixní. </w:t>
      </w:r>
      <w:r w:rsidRPr="00784BB2">
        <w:rPr>
          <w:rFonts w:ascii="Times New Roman" w:hAnsi="Times New Roman" w:cs="Times New Roman"/>
          <w:sz w:val="24"/>
        </w:rPr>
        <w:t xml:space="preserve">Podnik očekává za sledované období dosažení rentability nákladů ve výši 30 %. Ve skutečnosti za 1. čtvrtletí útvar Dopravy najezdil 63 000 km. </w:t>
      </w:r>
      <w:r w:rsidRPr="00004FA5">
        <w:rPr>
          <w:rFonts w:ascii="Times New Roman" w:hAnsi="Times New Roman" w:cs="Times New Roman"/>
          <w:sz w:val="24"/>
        </w:rPr>
        <w:t xml:space="preserve">Stanovte vnitropodnikovou cenu na úrovni </w:t>
      </w:r>
    </w:p>
    <w:p w:rsidR="00004FA5" w:rsidRPr="00004FA5" w:rsidRDefault="00004FA5" w:rsidP="00004FA5">
      <w:pPr>
        <w:tabs>
          <w:tab w:val="left" w:pos="1740"/>
        </w:tabs>
        <w:ind w:left="1440"/>
        <w:rPr>
          <w:rFonts w:ascii="Times New Roman" w:hAnsi="Times New Roman" w:cs="Times New Roman"/>
          <w:sz w:val="24"/>
        </w:rPr>
      </w:pPr>
      <w:r w:rsidRPr="00004FA5">
        <w:rPr>
          <w:rFonts w:ascii="Times New Roman" w:hAnsi="Times New Roman" w:cs="Times New Roman"/>
          <w:sz w:val="24"/>
        </w:rPr>
        <w:t>a) variabilních nákladů,</w:t>
      </w:r>
    </w:p>
    <w:p w:rsidR="00004FA5" w:rsidRPr="00004FA5" w:rsidRDefault="00004FA5" w:rsidP="00004FA5">
      <w:pPr>
        <w:tabs>
          <w:tab w:val="left" w:pos="1740"/>
        </w:tabs>
        <w:ind w:left="1440"/>
        <w:rPr>
          <w:rFonts w:ascii="Times New Roman" w:hAnsi="Times New Roman" w:cs="Times New Roman"/>
          <w:sz w:val="24"/>
        </w:rPr>
      </w:pPr>
      <w:r w:rsidRPr="00004FA5">
        <w:rPr>
          <w:rFonts w:ascii="Times New Roman" w:hAnsi="Times New Roman" w:cs="Times New Roman"/>
          <w:sz w:val="24"/>
        </w:rPr>
        <w:t>b) plných nákladů,</w:t>
      </w:r>
    </w:p>
    <w:p w:rsidR="00004FA5" w:rsidRPr="00004FA5" w:rsidRDefault="00004FA5" w:rsidP="00004FA5">
      <w:pPr>
        <w:tabs>
          <w:tab w:val="left" w:pos="1740"/>
        </w:tabs>
        <w:ind w:left="1440"/>
        <w:rPr>
          <w:rFonts w:ascii="Times New Roman" w:hAnsi="Times New Roman" w:cs="Times New Roman"/>
          <w:sz w:val="24"/>
        </w:rPr>
      </w:pPr>
      <w:r w:rsidRPr="00004FA5">
        <w:rPr>
          <w:rFonts w:ascii="Times New Roman" w:hAnsi="Times New Roman" w:cs="Times New Roman"/>
          <w:sz w:val="24"/>
        </w:rPr>
        <w:t>c) plných nákladů se ziskovou přirážkou,</w:t>
      </w:r>
    </w:p>
    <w:p w:rsidR="00004FA5" w:rsidRDefault="00004FA5" w:rsidP="00004FA5">
      <w:pPr>
        <w:tabs>
          <w:tab w:val="left" w:pos="1740"/>
        </w:tabs>
        <w:ind w:left="1440"/>
        <w:rPr>
          <w:rFonts w:ascii="Times New Roman" w:hAnsi="Times New Roman" w:cs="Times New Roman"/>
          <w:sz w:val="24"/>
        </w:rPr>
      </w:pPr>
      <w:r w:rsidRPr="00004FA5">
        <w:rPr>
          <w:rFonts w:ascii="Times New Roman" w:hAnsi="Times New Roman" w:cs="Times New Roman"/>
          <w:sz w:val="24"/>
        </w:rPr>
        <w:t>d) na úrovní tržní ceny.</w:t>
      </w:r>
    </w:p>
    <w:p w:rsidR="00004FA5" w:rsidRDefault="00004FA5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F170F" w:rsidRDefault="000F170F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F170F" w:rsidRDefault="000F170F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F170F" w:rsidRDefault="000F170F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04FA5" w:rsidRDefault="00004FA5" w:rsidP="00004FA5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81265A">
        <w:rPr>
          <w:rFonts w:ascii="Times New Roman" w:hAnsi="Times New Roman" w:cs="Times New Roman"/>
          <w:b/>
          <w:sz w:val="24"/>
          <w:u w:val="single"/>
        </w:rPr>
        <w:t xml:space="preserve">Řešení: </w:t>
      </w:r>
    </w:p>
    <w:p w:rsidR="000F170F" w:rsidRPr="000F170F" w:rsidRDefault="000F170F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Nejprve je potřeba sestavit si kalkulaci, ať znám náklady na 1 km. Posléze mohu počítat VPC. </w:t>
      </w:r>
    </w:p>
    <w:tbl>
      <w:tblPr>
        <w:tblStyle w:val="Mkatabulky"/>
        <w:tblW w:w="9526" w:type="dxa"/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004FA5" w:rsidTr="00E814DD">
        <w:trPr>
          <w:trHeight w:val="337"/>
        </w:trPr>
        <w:tc>
          <w:tcPr>
            <w:tcW w:w="9526" w:type="dxa"/>
            <w:gridSpan w:val="3"/>
          </w:tcPr>
          <w:p w:rsidR="00004FA5" w:rsidRPr="00004FA5" w:rsidRDefault="00004FA5" w:rsidP="00004FA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4FA5">
              <w:rPr>
                <w:rFonts w:ascii="Times New Roman" w:hAnsi="Times New Roman" w:cs="Times New Roman"/>
                <w:b/>
                <w:sz w:val="24"/>
              </w:rPr>
              <w:t>Kalkulace na 1 km přepravy</w:t>
            </w:r>
          </w:p>
        </w:tc>
      </w:tr>
      <w:tr w:rsidR="00004FA5" w:rsidTr="00004FA5">
        <w:trPr>
          <w:trHeight w:val="166"/>
        </w:trPr>
        <w:tc>
          <w:tcPr>
            <w:tcW w:w="3175" w:type="dxa"/>
          </w:tcPr>
          <w:p w:rsidR="00004FA5" w:rsidRDefault="00004FA5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Nákladová položka</w:t>
            </w:r>
          </w:p>
        </w:tc>
        <w:tc>
          <w:tcPr>
            <w:tcW w:w="3175" w:type="dxa"/>
          </w:tcPr>
          <w:p w:rsidR="00004FA5" w:rsidRDefault="00004FA5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Výpočet</w:t>
            </w:r>
          </w:p>
        </w:tc>
        <w:tc>
          <w:tcPr>
            <w:tcW w:w="3176" w:type="dxa"/>
          </w:tcPr>
          <w:p w:rsidR="00004FA5" w:rsidRDefault="00004FA5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Výsledek (Kč/km)</w:t>
            </w:r>
          </w:p>
        </w:tc>
      </w:tr>
      <w:tr w:rsidR="00004FA5" w:rsidTr="00004FA5">
        <w:trPr>
          <w:trHeight w:val="166"/>
        </w:trPr>
        <w:tc>
          <w:tcPr>
            <w:tcW w:w="3175" w:type="dxa"/>
          </w:tcPr>
          <w:p w:rsidR="00004FA5" w:rsidRDefault="00004FA5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Jednicový materiál (pohonné hmoty)</w:t>
            </w:r>
          </w:p>
        </w:tc>
        <w:tc>
          <w:tcPr>
            <w:tcW w:w="3175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(35 * 34,5) / 100</w:t>
            </w:r>
          </w:p>
        </w:tc>
        <w:tc>
          <w:tcPr>
            <w:tcW w:w="3176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12,075</w:t>
            </w:r>
          </w:p>
        </w:tc>
      </w:tr>
      <w:tr w:rsidR="00004FA5" w:rsidTr="00004FA5">
        <w:trPr>
          <w:trHeight w:val="166"/>
        </w:trPr>
        <w:tc>
          <w:tcPr>
            <w:tcW w:w="3175" w:type="dxa"/>
          </w:tcPr>
          <w:p w:rsidR="00004FA5" w:rsidRDefault="00004FA5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Variabilní režie</w:t>
            </w:r>
          </w:p>
        </w:tc>
        <w:tc>
          <w:tcPr>
            <w:tcW w:w="3175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175 500 / 60 000</w:t>
            </w:r>
          </w:p>
        </w:tc>
        <w:tc>
          <w:tcPr>
            <w:tcW w:w="3176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2,925</w:t>
            </w:r>
          </w:p>
        </w:tc>
      </w:tr>
      <w:tr w:rsidR="00004FA5" w:rsidTr="00004FA5">
        <w:trPr>
          <w:trHeight w:val="166"/>
        </w:trPr>
        <w:tc>
          <w:tcPr>
            <w:tcW w:w="3175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režie</w:t>
            </w:r>
            <w:r w:rsidR="00004F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75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 / 60 000</w:t>
            </w:r>
          </w:p>
        </w:tc>
        <w:tc>
          <w:tcPr>
            <w:tcW w:w="3176" w:type="dxa"/>
          </w:tcPr>
          <w:p w:rsidR="00004FA5" w:rsidRDefault="00AC7760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04FA5" w:rsidTr="00004FA5">
        <w:trPr>
          <w:trHeight w:val="166"/>
        </w:trPr>
        <w:tc>
          <w:tcPr>
            <w:tcW w:w="3175" w:type="dxa"/>
          </w:tcPr>
          <w:p w:rsidR="00004FA5" w:rsidRDefault="007003D1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Plné náklady celkem </w:t>
            </w:r>
          </w:p>
        </w:tc>
        <w:tc>
          <w:tcPr>
            <w:tcW w:w="3175" w:type="dxa"/>
          </w:tcPr>
          <w:p w:rsidR="00004FA5" w:rsidRDefault="007003D1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12,075 + 2,925 + 3</w:t>
            </w:r>
          </w:p>
        </w:tc>
        <w:tc>
          <w:tcPr>
            <w:tcW w:w="3176" w:type="dxa"/>
          </w:tcPr>
          <w:p w:rsidR="00004FA5" w:rsidRDefault="007003D1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004FA5" w:rsidTr="00004FA5">
        <w:trPr>
          <w:trHeight w:val="166"/>
        </w:trPr>
        <w:tc>
          <w:tcPr>
            <w:tcW w:w="3175" w:type="dxa"/>
          </w:tcPr>
          <w:p w:rsidR="00004FA5" w:rsidRDefault="007003D1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Zisková přirážka</w:t>
            </w:r>
          </w:p>
        </w:tc>
        <w:tc>
          <w:tcPr>
            <w:tcW w:w="3175" w:type="dxa"/>
          </w:tcPr>
          <w:p w:rsidR="00004FA5" w:rsidRDefault="007003D1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30 % (30 % z 18)</w:t>
            </w:r>
          </w:p>
        </w:tc>
        <w:tc>
          <w:tcPr>
            <w:tcW w:w="3176" w:type="dxa"/>
          </w:tcPr>
          <w:p w:rsidR="00004FA5" w:rsidRDefault="007003D1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</w:t>
            </w:r>
          </w:p>
        </w:tc>
      </w:tr>
      <w:tr w:rsidR="007003D1" w:rsidTr="00EF37EF">
        <w:trPr>
          <w:trHeight w:val="166"/>
        </w:trPr>
        <w:tc>
          <w:tcPr>
            <w:tcW w:w="9526" w:type="dxa"/>
            <w:gridSpan w:val="3"/>
          </w:tcPr>
          <w:p w:rsidR="007003D1" w:rsidRPr="007003D1" w:rsidRDefault="007003D1" w:rsidP="007003D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3D1">
              <w:rPr>
                <w:rFonts w:ascii="Times New Roman" w:hAnsi="Times New Roman" w:cs="Times New Roman"/>
                <w:b/>
                <w:sz w:val="24"/>
              </w:rPr>
              <w:t>Vnitropodniková cena za 1 km</w:t>
            </w:r>
            <w:r w:rsidR="00E941D3">
              <w:rPr>
                <w:rFonts w:ascii="Times New Roman" w:hAnsi="Times New Roman" w:cs="Times New Roman"/>
                <w:b/>
                <w:sz w:val="24"/>
              </w:rPr>
              <w:t xml:space="preserve"> na úrovni:</w:t>
            </w:r>
          </w:p>
        </w:tc>
      </w:tr>
      <w:tr w:rsidR="007003D1" w:rsidTr="00004FA5">
        <w:trPr>
          <w:trHeight w:val="166"/>
        </w:trPr>
        <w:tc>
          <w:tcPr>
            <w:tcW w:w="3175" w:type="dxa"/>
          </w:tcPr>
          <w:p w:rsidR="007003D1" w:rsidRDefault="00E941D3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Variabilních nákladů</w:t>
            </w:r>
          </w:p>
        </w:tc>
        <w:tc>
          <w:tcPr>
            <w:tcW w:w="3175" w:type="dxa"/>
          </w:tcPr>
          <w:p w:rsidR="007003D1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součet všech nákladů, které mají variabilní charakter = 12,075 + 2,925</w:t>
            </w:r>
          </w:p>
        </w:tc>
        <w:tc>
          <w:tcPr>
            <w:tcW w:w="3176" w:type="dxa"/>
          </w:tcPr>
          <w:p w:rsidR="007003D1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941D3" w:rsidTr="00004FA5">
        <w:trPr>
          <w:trHeight w:val="166"/>
        </w:trPr>
        <w:tc>
          <w:tcPr>
            <w:tcW w:w="3175" w:type="dxa"/>
          </w:tcPr>
          <w:p w:rsidR="00E941D3" w:rsidRDefault="00E941D3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Plných nákladů </w:t>
            </w:r>
          </w:p>
        </w:tc>
        <w:tc>
          <w:tcPr>
            <w:tcW w:w="3175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Součet všech nákladů = VN + FN = 12,075 + 2,925 + 3</w:t>
            </w:r>
          </w:p>
        </w:tc>
        <w:tc>
          <w:tcPr>
            <w:tcW w:w="3176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E941D3" w:rsidTr="00004FA5">
        <w:trPr>
          <w:trHeight w:val="166"/>
        </w:trPr>
        <w:tc>
          <w:tcPr>
            <w:tcW w:w="3175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Plných nákladů se ziskovou přirážkou</w:t>
            </w:r>
          </w:p>
        </w:tc>
        <w:tc>
          <w:tcPr>
            <w:tcW w:w="3175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Plné náklady + zisková přirážka = 18 + 5,4</w:t>
            </w:r>
          </w:p>
        </w:tc>
        <w:tc>
          <w:tcPr>
            <w:tcW w:w="3176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23,4</w:t>
            </w:r>
          </w:p>
        </w:tc>
      </w:tr>
      <w:tr w:rsidR="00E941D3" w:rsidTr="00004FA5">
        <w:trPr>
          <w:trHeight w:val="166"/>
        </w:trPr>
        <w:tc>
          <w:tcPr>
            <w:tcW w:w="3175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Tržní ceny</w:t>
            </w:r>
          </w:p>
        </w:tc>
        <w:tc>
          <w:tcPr>
            <w:tcW w:w="3175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ze zadání </w:t>
            </w:r>
          </w:p>
        </w:tc>
        <w:tc>
          <w:tcPr>
            <w:tcW w:w="3176" w:type="dxa"/>
          </w:tcPr>
          <w:p w:rsidR="00E941D3" w:rsidRDefault="0081265A" w:rsidP="00004FA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22,50</w:t>
            </w:r>
          </w:p>
        </w:tc>
      </w:tr>
    </w:tbl>
    <w:p w:rsidR="00004FA5" w:rsidRDefault="00004FA5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04FA5" w:rsidRDefault="00004FA5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04FA5" w:rsidRDefault="00004FA5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81265A" w:rsidRPr="00004FA5" w:rsidRDefault="0081265A" w:rsidP="00004FA5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004FA5" w:rsidRDefault="00004FA5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004FA5" w:rsidRDefault="00004FA5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004FA5" w:rsidRDefault="00004FA5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1F4689" w:rsidRPr="008D2105" w:rsidRDefault="0081265A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Útvar dopravy, který je řízený v režimu nákladového střediska, předává ostatním útvarům v rámci podniku své výkony, které jsou vyjádřeny ujetými km a oceněné vnitropodnikovou cenou na úrovni předem stanovených plných střediskových nákladů. Vnitropodniková cena 1 km činí podle kalkulace 40,- Kč a byly odvozena z následujících údajů: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spotřeba jednicových pohonných hmot 20,00 Kč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variabilní režie (opravy a údržba) 4,00 Kč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fixní režie 16,00 Kč 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Podíl fixní režie, který připadá na l km, byl odvozen ze střediskového rozpočtu fixních nákladů ve výši 1 600 000 Kč </w:t>
      </w:r>
      <w:r w:rsidR="00991747">
        <w:rPr>
          <w:rFonts w:ascii="Times New Roman" w:hAnsi="Times New Roman" w:cs="Times New Roman"/>
          <w:sz w:val="24"/>
        </w:rPr>
        <w:t>a ze stanovení kapacity útvaru 1</w:t>
      </w:r>
      <w:r w:rsidRPr="008D2105">
        <w:rPr>
          <w:rFonts w:ascii="Times New Roman" w:hAnsi="Times New Roman" w:cs="Times New Roman"/>
          <w:sz w:val="24"/>
        </w:rPr>
        <w:t xml:space="preserve">00 000 ujetých km. </w:t>
      </w:r>
    </w:p>
    <w:p w:rsidR="001F4689" w:rsidRDefault="00991747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skutečnosti ve</w:t>
      </w:r>
      <w:r w:rsidR="001F4689" w:rsidRPr="008D2105">
        <w:rPr>
          <w:rFonts w:ascii="Times New Roman" w:hAnsi="Times New Roman" w:cs="Times New Roman"/>
          <w:sz w:val="24"/>
        </w:rPr>
        <w:t xml:space="preserve"> sledovaném období předal útvar dopravy ostatním střediskům celkem 102 000 km. V souvislosti s jejich provedením vynaložil 2 032 000 Kč na spotřebu jednicových </w:t>
      </w:r>
      <w:r w:rsidR="001F4689" w:rsidRPr="008D2105">
        <w:rPr>
          <w:rFonts w:ascii="Times New Roman" w:hAnsi="Times New Roman" w:cs="Times New Roman"/>
          <w:sz w:val="24"/>
        </w:rPr>
        <w:lastRenderedPageBreak/>
        <w:t>pohonných hmot, 388 000 Kč variabilní režie na opravy a údržbu vozidel a 1 616 000 Kč fixních režijních nákladů.</w:t>
      </w:r>
    </w:p>
    <w:p w:rsidR="00004FA5" w:rsidRDefault="001F4689" w:rsidP="00004FA5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991747">
        <w:rPr>
          <w:rFonts w:ascii="Times New Roman" w:hAnsi="Times New Roman" w:cs="Times New Roman"/>
          <w:sz w:val="24"/>
        </w:rPr>
        <w:t xml:space="preserve">Zjistěte vnitropodnikový </w:t>
      </w:r>
      <w:r w:rsidR="00991747">
        <w:rPr>
          <w:rFonts w:ascii="Times New Roman" w:hAnsi="Times New Roman" w:cs="Times New Roman"/>
          <w:sz w:val="24"/>
        </w:rPr>
        <w:t>výsledek hospodářský (VVH)</w:t>
      </w:r>
      <w:r w:rsidR="00991747" w:rsidRPr="00991747">
        <w:rPr>
          <w:rFonts w:ascii="Times New Roman" w:hAnsi="Times New Roman" w:cs="Times New Roman"/>
          <w:sz w:val="24"/>
        </w:rPr>
        <w:t xml:space="preserve"> útvaru dopravy.</w:t>
      </w:r>
    </w:p>
    <w:p w:rsidR="00004FA5" w:rsidRPr="00004FA5" w:rsidRDefault="00004FA5" w:rsidP="00004FA5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4FA5">
        <w:rPr>
          <w:rFonts w:ascii="Times New Roman" w:hAnsi="Times New Roman" w:cs="Times New Roman"/>
          <w:b/>
          <w:sz w:val="24"/>
          <w:u w:val="single"/>
        </w:rPr>
        <w:t xml:space="preserve">Řešení: </w:t>
      </w:r>
    </w:p>
    <w:tbl>
      <w:tblPr>
        <w:tblStyle w:val="Mkatabulky"/>
        <w:tblW w:w="10002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  <w:gridCol w:w="2501"/>
      </w:tblGrid>
      <w:tr w:rsidR="00991747" w:rsidTr="00991747">
        <w:trPr>
          <w:trHeight w:val="1023"/>
        </w:trPr>
        <w:tc>
          <w:tcPr>
            <w:tcW w:w="2500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>Nákladová položka</w:t>
            </w:r>
          </w:p>
        </w:tc>
        <w:tc>
          <w:tcPr>
            <w:tcW w:w="2500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>Plánované náklady v Kč (výnosy)</w:t>
            </w:r>
          </w:p>
        </w:tc>
        <w:tc>
          <w:tcPr>
            <w:tcW w:w="2501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>Skutečné náklady v Kč (náklady)</w:t>
            </w:r>
          </w:p>
        </w:tc>
        <w:tc>
          <w:tcPr>
            <w:tcW w:w="2501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>Vnitropodnikový výsledek hospodaření v Kč</w:t>
            </w:r>
          </w:p>
        </w:tc>
      </w:tr>
      <w:tr w:rsidR="00991747" w:rsidTr="00991747">
        <w:trPr>
          <w:trHeight w:val="338"/>
        </w:trPr>
        <w:tc>
          <w:tcPr>
            <w:tcW w:w="2500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jednicových pohonných hmot</w:t>
            </w:r>
          </w:p>
        </w:tc>
        <w:tc>
          <w:tcPr>
            <w:tcW w:w="2500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* 102 000 = 2 040 000</w:t>
            </w:r>
          </w:p>
        </w:tc>
        <w:tc>
          <w:tcPr>
            <w:tcW w:w="2501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2 032 000</w:t>
            </w:r>
          </w:p>
        </w:tc>
        <w:tc>
          <w:tcPr>
            <w:tcW w:w="2501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8 000 </w:t>
            </w:r>
          </w:p>
        </w:tc>
      </w:tr>
      <w:tr w:rsidR="00991747" w:rsidTr="00991747">
        <w:trPr>
          <w:trHeight w:val="338"/>
        </w:trPr>
        <w:tc>
          <w:tcPr>
            <w:tcW w:w="2500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Variabilní režie</w:t>
            </w:r>
          </w:p>
        </w:tc>
        <w:tc>
          <w:tcPr>
            <w:tcW w:w="2500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* 102 000 = 408 000</w:t>
            </w:r>
          </w:p>
        </w:tc>
        <w:tc>
          <w:tcPr>
            <w:tcW w:w="2501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388 000</w:t>
            </w:r>
          </w:p>
        </w:tc>
        <w:tc>
          <w:tcPr>
            <w:tcW w:w="2501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</w:tr>
      <w:tr w:rsidR="00991747" w:rsidTr="00991747">
        <w:trPr>
          <w:trHeight w:val="348"/>
        </w:trPr>
        <w:tc>
          <w:tcPr>
            <w:tcW w:w="2500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režie</w:t>
            </w:r>
          </w:p>
        </w:tc>
        <w:tc>
          <w:tcPr>
            <w:tcW w:w="2500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* 102 000 = 1 632 000</w:t>
            </w:r>
          </w:p>
        </w:tc>
        <w:tc>
          <w:tcPr>
            <w:tcW w:w="2501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1 616 000</w:t>
            </w:r>
          </w:p>
        </w:tc>
        <w:tc>
          <w:tcPr>
            <w:tcW w:w="2501" w:type="dxa"/>
          </w:tcPr>
          <w:p w:rsid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16 000</w:t>
            </w:r>
          </w:p>
        </w:tc>
      </w:tr>
      <w:tr w:rsidR="00991747" w:rsidTr="00991747">
        <w:trPr>
          <w:trHeight w:val="348"/>
        </w:trPr>
        <w:tc>
          <w:tcPr>
            <w:tcW w:w="2500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>Celkem</w:t>
            </w:r>
          </w:p>
        </w:tc>
        <w:tc>
          <w:tcPr>
            <w:tcW w:w="2500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 xml:space="preserve">4 080 000 </w:t>
            </w:r>
          </w:p>
        </w:tc>
        <w:tc>
          <w:tcPr>
            <w:tcW w:w="2501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1747">
              <w:rPr>
                <w:rFonts w:ascii="Times New Roman" w:hAnsi="Times New Roman" w:cs="Times New Roman"/>
                <w:b/>
                <w:sz w:val="24"/>
              </w:rPr>
              <w:t>4 036 000</w:t>
            </w:r>
          </w:p>
        </w:tc>
        <w:tc>
          <w:tcPr>
            <w:tcW w:w="2501" w:type="dxa"/>
          </w:tcPr>
          <w:p w:rsidR="00991747" w:rsidRPr="00991747" w:rsidRDefault="00991747" w:rsidP="00991747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+ 44 000</w:t>
            </w:r>
          </w:p>
        </w:tc>
      </w:tr>
    </w:tbl>
    <w:p w:rsidR="00991747" w:rsidRPr="00991747" w:rsidRDefault="00991747" w:rsidP="00991747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7430AA" w:rsidRPr="000F170F" w:rsidRDefault="000F170F" w:rsidP="000F170F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170F">
        <w:rPr>
          <w:rFonts w:ascii="Times New Roman" w:hAnsi="Times New Roman" w:cs="Times New Roman"/>
          <w:sz w:val="24"/>
        </w:rPr>
        <w:t>Vidíme, že</w:t>
      </w:r>
      <w:r>
        <w:rPr>
          <w:rFonts w:ascii="Times New Roman" w:hAnsi="Times New Roman" w:cs="Times New Roman"/>
          <w:sz w:val="24"/>
        </w:rPr>
        <w:t xml:space="preserve"> plánované náklady jsou vyšší než skutečné, tudíž středisko hospodaří s úsporou 44 000 Kč, což je pro podnik dobře. </w:t>
      </w:r>
    </w:p>
    <w:p w:rsidR="00004FA5" w:rsidRDefault="00004FA5" w:rsidP="001F4689"/>
    <w:p w:rsidR="00004FA5" w:rsidRDefault="00004FA5" w:rsidP="001F4689"/>
    <w:p w:rsidR="00004FA5" w:rsidRDefault="00004FA5" w:rsidP="001F4689"/>
    <w:p w:rsidR="00004FA5" w:rsidRDefault="00004FA5" w:rsidP="001F4689"/>
    <w:p w:rsidR="00004FA5" w:rsidRDefault="00004FA5" w:rsidP="001F4689"/>
    <w:p w:rsidR="00816321" w:rsidRDefault="00816321" w:rsidP="001F4689"/>
    <w:p w:rsidR="00816321" w:rsidRDefault="00816321" w:rsidP="001F4689"/>
    <w:p w:rsidR="00816321" w:rsidRDefault="00816321" w:rsidP="001F4689"/>
    <w:p w:rsidR="00816321" w:rsidRDefault="00816321" w:rsidP="001F4689"/>
    <w:p w:rsidR="00816321" w:rsidRDefault="00816321" w:rsidP="001F4689"/>
    <w:p w:rsidR="00816321" w:rsidRDefault="00816321" w:rsidP="001F4689"/>
    <w:p w:rsidR="00816321" w:rsidRDefault="00816321" w:rsidP="001F4689"/>
    <w:p w:rsidR="00816321" w:rsidRDefault="00816321" w:rsidP="001F4689"/>
    <w:p w:rsidR="00816321" w:rsidRDefault="00816321" w:rsidP="001F4689">
      <w:bookmarkStart w:id="0" w:name="_GoBack"/>
      <w:bookmarkEnd w:id="0"/>
    </w:p>
    <w:p w:rsidR="00004FA5" w:rsidRDefault="00004FA5" w:rsidP="001F4689"/>
    <w:p w:rsidR="00004FA5" w:rsidRDefault="00004FA5" w:rsidP="001F4689"/>
    <w:p w:rsidR="00004FA5" w:rsidRDefault="00004FA5" w:rsidP="001F4689"/>
    <w:p w:rsidR="00004FA5" w:rsidRDefault="00004FA5" w:rsidP="001F4689"/>
    <w:p w:rsidR="00004FA5" w:rsidRDefault="00004FA5" w:rsidP="001F4689"/>
    <w:p w:rsidR="00CE001E" w:rsidRPr="00CE001E" w:rsidRDefault="003C06D5" w:rsidP="00CE001E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Příklad 3</w:t>
      </w:r>
    </w:p>
    <w:p w:rsidR="00CE001E" w:rsidRDefault="00571ABF" w:rsidP="00CE0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177790" cy="45827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1E" w:rsidRDefault="00CE001E" w:rsidP="00CE001E">
      <w:pPr>
        <w:rPr>
          <w:rFonts w:ascii="Times New Roman" w:hAnsi="Times New Roman" w:cs="Times New Roman"/>
          <w:sz w:val="24"/>
        </w:rPr>
      </w:pPr>
    </w:p>
    <w:p w:rsidR="00CE001E" w:rsidRDefault="00CE001E" w:rsidP="00CE001E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37EA">
        <w:rPr>
          <w:rFonts w:ascii="Times New Roman" w:hAnsi="Times New Roman" w:cs="Times New Roman"/>
          <w:sz w:val="24"/>
        </w:rPr>
        <w:t xml:space="preserve">ÚKOLY: </w:t>
      </w:r>
    </w:p>
    <w:p w:rsidR="00CE001E" w:rsidRPr="003F37EA" w:rsidRDefault="00CE001E" w:rsidP="00D501AC">
      <w:pPr>
        <w:pStyle w:val="Odstavecseseznamem"/>
        <w:numPr>
          <w:ilvl w:val="0"/>
          <w:numId w:val="6"/>
        </w:num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 xml:space="preserve">Sestavte předběžnou kalkulaci nákladů l ks výrobku. </w:t>
      </w:r>
    </w:p>
    <w:p w:rsidR="00CE001E" w:rsidRPr="00E05331" w:rsidRDefault="00CE001E" w:rsidP="00E05331">
      <w:pPr>
        <w:pStyle w:val="Odstavecseseznamem"/>
        <w:numPr>
          <w:ilvl w:val="0"/>
          <w:numId w:val="6"/>
        </w:num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Stanovte vnitropodnikovou cenu na úrovni plných nákladů pro ocenění výkonů střediska Výroba a střediska Prodej.</w:t>
      </w:r>
    </w:p>
    <w:p w:rsidR="00CE001E" w:rsidRDefault="00CE001E" w:rsidP="00D501AC">
      <w:pPr>
        <w:pStyle w:val="Odstavecseseznamem"/>
        <w:numPr>
          <w:ilvl w:val="0"/>
          <w:numId w:val="6"/>
        </w:num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kalkulovaný zisk z prodeje za předpokladu, že se interní výkony oceňují na úrovni plných nákladů.</w:t>
      </w:r>
    </w:p>
    <w:p w:rsidR="00004FA5" w:rsidRDefault="00004FA5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004FA5" w:rsidRDefault="00D65E7B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Řešení:</w:t>
      </w:r>
    </w:p>
    <w:p w:rsidR="00D65E7B" w:rsidRDefault="00D65E7B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556DB3" w:rsidRPr="00C83964" w:rsidRDefault="00C83964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C83964">
        <w:rPr>
          <w:rFonts w:ascii="Times New Roman" w:hAnsi="Times New Roman" w:cs="Times New Roman"/>
          <w:sz w:val="24"/>
        </w:rPr>
        <w:t>Ad 1)</w:t>
      </w:r>
    </w:p>
    <w:p w:rsidR="00556DB3" w:rsidRDefault="00556DB3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6DB3" w:rsidTr="00556DB3">
        <w:tc>
          <w:tcPr>
            <w:tcW w:w="4531" w:type="dxa"/>
          </w:tcPr>
          <w:p w:rsidR="00556DB3" w:rsidRPr="00C83964" w:rsidRDefault="00556DB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83964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4531" w:type="dxa"/>
          </w:tcPr>
          <w:p w:rsidR="00556DB3" w:rsidRPr="00C83964" w:rsidRDefault="00556DB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83964">
              <w:rPr>
                <w:rFonts w:ascii="Times New Roman" w:hAnsi="Times New Roman" w:cs="Times New Roman"/>
                <w:b/>
                <w:sz w:val="24"/>
              </w:rPr>
              <w:t>Kč / kg</w:t>
            </w:r>
          </w:p>
        </w:tc>
      </w:tr>
      <w:tr w:rsidR="00556DB3" w:rsidTr="00556DB3">
        <w:tc>
          <w:tcPr>
            <w:tcW w:w="4531" w:type="dxa"/>
          </w:tcPr>
          <w:p w:rsidR="00556DB3" w:rsidRDefault="00556DB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4531" w:type="dxa"/>
          </w:tcPr>
          <w:p w:rsidR="00556DB3" w:rsidRDefault="00556DB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556DB3" w:rsidTr="00556DB3"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Jednicové náklady</w:t>
            </w:r>
          </w:p>
        </w:tc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(-) 25</w:t>
            </w:r>
          </w:p>
        </w:tc>
      </w:tr>
      <w:tr w:rsidR="00556DB3" w:rsidTr="00556DB3"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Variabilní režijní náklady</w:t>
            </w:r>
          </w:p>
        </w:tc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556DB3" w:rsidTr="00556DB3"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Marže</w:t>
            </w:r>
          </w:p>
        </w:tc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556DB3" w:rsidTr="00556DB3">
        <w:tc>
          <w:tcPr>
            <w:tcW w:w="4531" w:type="dxa"/>
          </w:tcPr>
          <w:p w:rsidR="00556DB3" w:rsidRDefault="008647E3" w:rsidP="008647E3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Podíl fixních nákladů</w:t>
            </w:r>
          </w:p>
        </w:tc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556DB3" w:rsidTr="00556DB3">
        <w:tc>
          <w:tcPr>
            <w:tcW w:w="4531" w:type="dxa"/>
          </w:tcPr>
          <w:p w:rsidR="00556DB3" w:rsidRDefault="00556DB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Zisk </w:t>
            </w:r>
          </w:p>
        </w:tc>
        <w:tc>
          <w:tcPr>
            <w:tcW w:w="4531" w:type="dxa"/>
          </w:tcPr>
          <w:p w:rsidR="00556DB3" w:rsidRDefault="008647E3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556DB3" w:rsidRDefault="00556DB3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8647E3" w:rsidRPr="008647E3" w:rsidRDefault="008647E3" w:rsidP="00571ABF">
      <w:pPr>
        <w:tabs>
          <w:tab w:val="left" w:pos="1253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8647E3">
        <w:rPr>
          <w:rFonts w:ascii="Times New Roman" w:hAnsi="Times New Roman" w:cs="Times New Roman"/>
          <w:b/>
          <w:i/>
          <w:sz w:val="24"/>
          <w:u w:val="single"/>
        </w:rPr>
        <w:t>Pozn.: vysvětlení k tabulce:</w:t>
      </w:r>
    </w:p>
    <w:p w:rsidR="008647E3" w:rsidRPr="003E7987" w:rsidRDefault="008647E3" w:rsidP="003E7987">
      <w:pPr>
        <w:pStyle w:val="Odstavecseseznamem"/>
        <w:numPr>
          <w:ilvl w:val="0"/>
          <w:numId w:val="7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E7987">
        <w:rPr>
          <w:rFonts w:ascii="Times New Roman" w:hAnsi="Times New Roman" w:cs="Times New Roman"/>
          <w:sz w:val="24"/>
        </w:rPr>
        <w:t>Jednicové náklady = jednicový materiál + jednicové mzdy</w:t>
      </w:r>
    </w:p>
    <w:p w:rsidR="008647E3" w:rsidRPr="003E7987" w:rsidRDefault="008647E3" w:rsidP="003E7987">
      <w:pPr>
        <w:pStyle w:val="Odstavecseseznamem"/>
        <w:numPr>
          <w:ilvl w:val="0"/>
          <w:numId w:val="7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E7987">
        <w:rPr>
          <w:rFonts w:ascii="Times New Roman" w:hAnsi="Times New Roman" w:cs="Times New Roman"/>
          <w:sz w:val="24"/>
        </w:rPr>
        <w:t>Variabilní režijní náklady = režijní náklady na výrobu variabilní + režijní náklady na prodej variabilní = 10 + 5 = 15</w:t>
      </w:r>
    </w:p>
    <w:p w:rsidR="003E7987" w:rsidRPr="003E7987" w:rsidRDefault="003E7987" w:rsidP="003E7987">
      <w:pPr>
        <w:pStyle w:val="Odstavecseseznamem"/>
        <w:numPr>
          <w:ilvl w:val="0"/>
          <w:numId w:val="7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E7987">
        <w:rPr>
          <w:rFonts w:ascii="Times New Roman" w:hAnsi="Times New Roman" w:cs="Times New Roman"/>
          <w:sz w:val="24"/>
        </w:rPr>
        <w:t>Marže = rozdíl mezi jednotkovou prodejní cenou a náklady, které mají variabilní charakter</w:t>
      </w:r>
    </w:p>
    <w:p w:rsidR="003E7987" w:rsidRPr="003E7987" w:rsidRDefault="003E7987" w:rsidP="003E7987">
      <w:pPr>
        <w:pStyle w:val="Odstavecseseznamem"/>
        <w:numPr>
          <w:ilvl w:val="0"/>
          <w:numId w:val="7"/>
        </w:num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 w:rsidRPr="003E7987">
        <w:rPr>
          <w:rFonts w:ascii="Times New Roman" w:hAnsi="Times New Roman" w:cs="Times New Roman"/>
          <w:sz w:val="24"/>
        </w:rPr>
        <w:t>Podíl fixních nákladů = režijní náklady na výrobu fixní + režijní náklady na prodej fixní = 7 500 000 + 6 000 000 = 13 500 000 Kč. Jelikož do kalkulace potřebujeme fixní náklady na jednotku, musíme vydělit 13 500 000 počtem výkonu. Jelikož kalkulace vychází z plánovaných hodnot, tak veškeré informace o nákladech a počtech výkonů bereme z plánovaných nákladů. Tudíž 13 500 000 Kč vydělíme plánovaných Q, což je 500 000 kg. 13 500 000 / 500 000 = 27 Kč / kg.</w:t>
      </w:r>
    </w:p>
    <w:p w:rsidR="00556DB3" w:rsidRDefault="00556DB3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0A5C6F" w:rsidRPr="000A5C6F" w:rsidRDefault="000A5C6F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0A5C6F">
        <w:rPr>
          <w:rFonts w:ascii="Times New Roman" w:hAnsi="Times New Roman" w:cs="Times New Roman"/>
          <w:sz w:val="24"/>
        </w:rPr>
        <w:t>Ad 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C6F" w:rsidTr="000A5C6F">
        <w:tc>
          <w:tcPr>
            <w:tcW w:w="4531" w:type="dxa"/>
          </w:tcPr>
          <w:p w:rsidR="000A5C6F" w:rsidRDefault="000A5C6F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Středisko</w:t>
            </w:r>
          </w:p>
        </w:tc>
        <w:tc>
          <w:tcPr>
            <w:tcW w:w="4531" w:type="dxa"/>
          </w:tcPr>
          <w:p w:rsidR="000A5C6F" w:rsidRDefault="000A5C6F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Vnitropodniková cena (VPC) v</w:t>
            </w:r>
            <w:r w:rsidR="002D4E50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Kč</w:t>
            </w:r>
            <w:r w:rsidR="002D4E50">
              <w:rPr>
                <w:rFonts w:ascii="Times New Roman" w:hAnsi="Times New Roman" w:cs="Times New Roman"/>
                <w:sz w:val="24"/>
              </w:rPr>
              <w:t xml:space="preserve"> / kg</w:t>
            </w:r>
          </w:p>
        </w:tc>
      </w:tr>
      <w:tr w:rsidR="000A5C6F" w:rsidTr="000A5C6F">
        <w:tc>
          <w:tcPr>
            <w:tcW w:w="4531" w:type="dxa"/>
          </w:tcPr>
          <w:p w:rsidR="000A5C6F" w:rsidRDefault="000A5C6F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Výroba</w:t>
            </w:r>
          </w:p>
        </w:tc>
        <w:tc>
          <w:tcPr>
            <w:tcW w:w="4531" w:type="dxa"/>
          </w:tcPr>
          <w:p w:rsidR="000A5C6F" w:rsidRDefault="000A5C6F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0A5C6F" w:rsidTr="000A5C6F">
        <w:tc>
          <w:tcPr>
            <w:tcW w:w="4531" w:type="dxa"/>
          </w:tcPr>
          <w:p w:rsidR="000A5C6F" w:rsidRDefault="000A5C6F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Prodej</w:t>
            </w:r>
          </w:p>
        </w:tc>
        <w:tc>
          <w:tcPr>
            <w:tcW w:w="4531" w:type="dxa"/>
          </w:tcPr>
          <w:p w:rsidR="000A5C6F" w:rsidRDefault="000A5C6F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</w:tbl>
    <w:p w:rsidR="000A5C6F" w:rsidRDefault="000A5C6F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7712E7" w:rsidRPr="008647E3" w:rsidRDefault="007712E7" w:rsidP="007712E7">
      <w:pPr>
        <w:tabs>
          <w:tab w:val="left" w:pos="1253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8647E3">
        <w:rPr>
          <w:rFonts w:ascii="Times New Roman" w:hAnsi="Times New Roman" w:cs="Times New Roman"/>
          <w:b/>
          <w:i/>
          <w:sz w:val="24"/>
          <w:u w:val="single"/>
        </w:rPr>
        <w:t>Pozn.: vysvětlení k tabulce:</w:t>
      </w:r>
    </w:p>
    <w:p w:rsidR="007712E7" w:rsidRPr="007712E7" w:rsidRDefault="007712E7" w:rsidP="007712E7">
      <w:pPr>
        <w:pStyle w:val="Odstavecseseznamem"/>
        <w:numPr>
          <w:ilvl w:val="0"/>
          <w:numId w:val="13"/>
        </w:numPr>
        <w:tabs>
          <w:tab w:val="left" w:pos="1253"/>
        </w:tabs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7712E7">
        <w:rPr>
          <w:rFonts w:ascii="Times New Roman" w:hAnsi="Times New Roman" w:cs="Times New Roman"/>
          <w:sz w:val="24"/>
        </w:rPr>
        <w:t xml:space="preserve">Středisko výroba – podstatné je si určit, s jakými náklady středisko výroba vyrobí svůj výrobek. K tomu, abychom vyrobili výrobek, potřebujeme: jednicový materiál + jednicové mzdy + režijní náklady na výrobu variabilní + režijní náklady na výrobu fixní. Nesmíme zapomenout, že vnitropodniková cena je plánovaná cena, která vychází z plánovaných hodnot a je </w:t>
      </w:r>
      <w:r w:rsidRPr="007712E7">
        <w:rPr>
          <w:rFonts w:ascii="Times New Roman" w:hAnsi="Times New Roman" w:cs="Times New Roman"/>
          <w:b/>
          <w:i/>
          <w:sz w:val="24"/>
          <w:u w:val="single"/>
        </w:rPr>
        <w:t>na 1 výkon</w:t>
      </w:r>
    </w:p>
    <w:p w:rsidR="007712E7" w:rsidRDefault="007712E7" w:rsidP="007712E7">
      <w:p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jednicový materiál + jednicové mzdy + režijní náklady na výrobu</w:t>
      </w:r>
      <w:r>
        <w:rPr>
          <w:rFonts w:ascii="Times New Roman" w:hAnsi="Times New Roman" w:cs="Times New Roman"/>
          <w:sz w:val="24"/>
        </w:rPr>
        <w:t xml:space="preserve"> variabilní + režijní náklady na výrobu fixní = 20 + 5 + 5 + (7 500 000 Kč / 500 000 kg) = 45 Kč/kg </w:t>
      </w:r>
    </w:p>
    <w:p w:rsidR="007712E7" w:rsidRPr="007712E7" w:rsidRDefault="007712E7" w:rsidP="007712E7">
      <w:pPr>
        <w:pStyle w:val="Odstavecseseznamem"/>
        <w:numPr>
          <w:ilvl w:val="0"/>
          <w:numId w:val="13"/>
        </w:num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 w:rsidRPr="007712E7">
        <w:rPr>
          <w:rFonts w:ascii="Times New Roman" w:hAnsi="Times New Roman" w:cs="Times New Roman"/>
          <w:sz w:val="24"/>
        </w:rPr>
        <w:t xml:space="preserve">Středisko prodej – musíme si určit, s jakými náklady na 1 výkon středisko prodej prodává své výrobky. Nikoli vyrábí a prodává, ale pouze prodává. Středisko výroba vyrábí a v dalším středisku se pouze prodává a dochází k expedici výrobků. Tudíž mezi náklady střediska prodej lze zařadit náklady na skladování, prodej, expedici, marketingové náklady, mzdové náklady administrativního pracovníka zodpovědného za expedici výrobků apod. </w:t>
      </w:r>
    </w:p>
    <w:p w:rsidR="007712E7" w:rsidRDefault="007712E7" w:rsidP="007712E7">
      <w:pPr>
        <w:tabs>
          <w:tab w:val="left" w:pos="1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Tudíž středisko prodej prodává v našem příkladu s těmito náklady: režijní náklady na prodej variabilní + režijní náklady na prodej fixní = 10 + (6 000 000 Kč / 500 000 kg) = 22 Kč / kg.</w:t>
      </w:r>
    </w:p>
    <w:p w:rsidR="007712E7" w:rsidRPr="000A5C6F" w:rsidRDefault="007712E7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556DB3" w:rsidRPr="00E05331" w:rsidRDefault="00E05331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E05331">
        <w:rPr>
          <w:rFonts w:ascii="Times New Roman" w:hAnsi="Times New Roman" w:cs="Times New Roman"/>
          <w:sz w:val="24"/>
        </w:rPr>
        <w:t xml:space="preserve">Ad 3)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0"/>
        <w:gridCol w:w="3609"/>
        <w:gridCol w:w="2263"/>
      </w:tblGrid>
      <w:tr w:rsidR="00082F34" w:rsidTr="00082F34">
        <w:tc>
          <w:tcPr>
            <w:tcW w:w="3190" w:type="dxa"/>
          </w:tcPr>
          <w:p w:rsidR="00082F34" w:rsidRP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82F34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609" w:type="dxa"/>
          </w:tcPr>
          <w:p w:rsidR="00082F34" w:rsidRP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Výpočet</w:t>
            </w:r>
          </w:p>
        </w:tc>
        <w:tc>
          <w:tcPr>
            <w:tcW w:w="2263" w:type="dxa"/>
          </w:tcPr>
          <w:p w:rsidR="00082F34" w:rsidRP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82F3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</w:tr>
      <w:tr w:rsidR="00082F34" w:rsidTr="00082F34">
        <w:tc>
          <w:tcPr>
            <w:tcW w:w="3190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 z prodeje</w:t>
            </w:r>
          </w:p>
        </w:tc>
        <w:tc>
          <w:tcPr>
            <w:tcW w:w="3609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 * Q = 100 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480 000 kg</w:t>
            </w:r>
          </w:p>
        </w:tc>
        <w:tc>
          <w:tcPr>
            <w:tcW w:w="2263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48 000 000</w:t>
            </w:r>
          </w:p>
        </w:tc>
      </w:tr>
      <w:tr w:rsidR="00082F34" w:rsidTr="00082F34">
        <w:tc>
          <w:tcPr>
            <w:tcW w:w="3190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 na prodané výkony</w:t>
            </w:r>
          </w:p>
        </w:tc>
        <w:tc>
          <w:tcPr>
            <w:tcW w:w="3609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67 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480 000 kg </w:t>
            </w:r>
          </w:p>
        </w:tc>
        <w:tc>
          <w:tcPr>
            <w:tcW w:w="2263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32 160 000</w:t>
            </w:r>
          </w:p>
        </w:tc>
      </w:tr>
      <w:tr w:rsidR="00082F34" w:rsidTr="00082F34">
        <w:tc>
          <w:tcPr>
            <w:tcW w:w="3190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Zisk z prodeje</w:t>
            </w:r>
          </w:p>
        </w:tc>
        <w:tc>
          <w:tcPr>
            <w:tcW w:w="3609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V-N = 48 000 000 – 32 160 000</w:t>
            </w:r>
          </w:p>
        </w:tc>
        <w:tc>
          <w:tcPr>
            <w:tcW w:w="2263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15 840 000</w:t>
            </w:r>
          </w:p>
        </w:tc>
      </w:tr>
      <w:tr w:rsidR="00082F34" w:rsidTr="00082F34">
        <w:tc>
          <w:tcPr>
            <w:tcW w:w="3190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 2. způsob</w:t>
            </w:r>
          </w:p>
        </w:tc>
        <w:tc>
          <w:tcPr>
            <w:tcW w:w="3609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Zisk na jednotku z kalkulace byl 33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/kg, takže celkový zisk vypočteme jako 33 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480 000 kg </w:t>
            </w:r>
          </w:p>
        </w:tc>
        <w:tc>
          <w:tcPr>
            <w:tcW w:w="2263" w:type="dxa"/>
          </w:tcPr>
          <w:p w:rsidR="00082F34" w:rsidRDefault="00082F34" w:rsidP="00571ABF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15 840 000 </w:t>
            </w:r>
          </w:p>
        </w:tc>
      </w:tr>
    </w:tbl>
    <w:p w:rsidR="00E05331" w:rsidRDefault="00E05331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082F34" w:rsidRPr="00082F34" w:rsidRDefault="00082F34" w:rsidP="00082F34">
      <w:pPr>
        <w:pStyle w:val="Odstavecseseznamem"/>
        <w:numPr>
          <w:ilvl w:val="0"/>
          <w:numId w:val="13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proofErr w:type="gramStart"/>
      <w:r w:rsidRPr="00082F34">
        <w:rPr>
          <w:rFonts w:ascii="Times New Roman" w:hAnsi="Times New Roman" w:cs="Times New Roman"/>
          <w:sz w:val="24"/>
        </w:rPr>
        <w:t>Pozor !!! Prodávám</w:t>
      </w:r>
      <w:proofErr w:type="gramEnd"/>
      <w:r w:rsidRPr="00082F34">
        <w:rPr>
          <w:rFonts w:ascii="Times New Roman" w:hAnsi="Times New Roman" w:cs="Times New Roman"/>
          <w:sz w:val="24"/>
        </w:rPr>
        <w:t xml:space="preserve"> pouze 480 000 kg. </w:t>
      </w:r>
    </w:p>
    <w:p w:rsidR="00082F34" w:rsidRPr="00082F34" w:rsidRDefault="00082F34" w:rsidP="00082F34">
      <w:pPr>
        <w:pStyle w:val="Odstavecseseznamem"/>
        <w:numPr>
          <w:ilvl w:val="0"/>
          <w:numId w:val="13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082F34">
        <w:rPr>
          <w:rFonts w:ascii="Times New Roman" w:hAnsi="Times New Roman" w:cs="Times New Roman"/>
          <w:sz w:val="24"/>
        </w:rPr>
        <w:t xml:space="preserve">Náklady na prodané výkony – sestavili jsme si v zadání ad 1 kalkulaci na 1 kg, tudíž nasčítám veškeré náklady = jednicový materiál + jednicové mzdy + režijní náklady na výrobu + režijní náklady na prodej. To vše z kalkulace na 1 kg. </w:t>
      </w:r>
    </w:p>
    <w:p w:rsidR="00004FA5" w:rsidRDefault="00004FA5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004FA5" w:rsidRDefault="00004FA5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004FA5" w:rsidRDefault="00004FA5" w:rsidP="00571ABF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571ABF" w:rsidRPr="00571ABF" w:rsidRDefault="00571ABF" w:rsidP="00726CCF">
      <w:pPr>
        <w:tabs>
          <w:tab w:val="left" w:pos="3048"/>
        </w:tabs>
        <w:rPr>
          <w:rFonts w:ascii="Times New Roman" w:hAnsi="Times New Roman" w:cs="Times New Roman"/>
          <w:b/>
          <w:sz w:val="24"/>
          <w:u w:val="single"/>
        </w:rPr>
      </w:pPr>
    </w:p>
    <w:p w:rsidR="00CE001E" w:rsidRP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sectPr w:rsidR="00CE001E" w:rsidRPr="00CE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B43"/>
    <w:multiLevelType w:val="hybridMultilevel"/>
    <w:tmpl w:val="FC54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60A"/>
    <w:multiLevelType w:val="hybridMultilevel"/>
    <w:tmpl w:val="3CFE5124"/>
    <w:lvl w:ilvl="0" w:tplc="8AF8DC5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72EA6"/>
    <w:multiLevelType w:val="hybridMultilevel"/>
    <w:tmpl w:val="BF2EB9C8"/>
    <w:lvl w:ilvl="0" w:tplc="8AF8DC5C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6E3968"/>
    <w:multiLevelType w:val="hybridMultilevel"/>
    <w:tmpl w:val="1308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1AF2"/>
    <w:multiLevelType w:val="hybridMultilevel"/>
    <w:tmpl w:val="F23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77D1"/>
    <w:multiLevelType w:val="hybridMultilevel"/>
    <w:tmpl w:val="D256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70FF"/>
    <w:multiLevelType w:val="hybridMultilevel"/>
    <w:tmpl w:val="584CBE1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04FA5"/>
    <w:rsid w:val="00082F34"/>
    <w:rsid w:val="000A5C6F"/>
    <w:rsid w:val="000F170F"/>
    <w:rsid w:val="001531C8"/>
    <w:rsid w:val="00161F29"/>
    <w:rsid w:val="001964E9"/>
    <w:rsid w:val="001F4689"/>
    <w:rsid w:val="0023559A"/>
    <w:rsid w:val="002C45F6"/>
    <w:rsid w:val="002D4E50"/>
    <w:rsid w:val="003C06D5"/>
    <w:rsid w:val="003E7987"/>
    <w:rsid w:val="00495B01"/>
    <w:rsid w:val="004B46CE"/>
    <w:rsid w:val="00517AD8"/>
    <w:rsid w:val="00556DB3"/>
    <w:rsid w:val="00571ABF"/>
    <w:rsid w:val="005747DA"/>
    <w:rsid w:val="0059064D"/>
    <w:rsid w:val="005A2A6B"/>
    <w:rsid w:val="00670577"/>
    <w:rsid w:val="00677322"/>
    <w:rsid w:val="00684C19"/>
    <w:rsid w:val="00693A16"/>
    <w:rsid w:val="007003D1"/>
    <w:rsid w:val="00726CCF"/>
    <w:rsid w:val="007430AA"/>
    <w:rsid w:val="00747494"/>
    <w:rsid w:val="007712E7"/>
    <w:rsid w:val="007973DF"/>
    <w:rsid w:val="007A1A57"/>
    <w:rsid w:val="0081265A"/>
    <w:rsid w:val="00816321"/>
    <w:rsid w:val="00820121"/>
    <w:rsid w:val="008647E3"/>
    <w:rsid w:val="008E3EE2"/>
    <w:rsid w:val="00991747"/>
    <w:rsid w:val="009B7D6F"/>
    <w:rsid w:val="00A75363"/>
    <w:rsid w:val="00AA757C"/>
    <w:rsid w:val="00AC7760"/>
    <w:rsid w:val="00AD485A"/>
    <w:rsid w:val="00B8132C"/>
    <w:rsid w:val="00BA6938"/>
    <w:rsid w:val="00C566F5"/>
    <w:rsid w:val="00C83964"/>
    <w:rsid w:val="00CB16CB"/>
    <w:rsid w:val="00CE001E"/>
    <w:rsid w:val="00CF70B6"/>
    <w:rsid w:val="00D501AC"/>
    <w:rsid w:val="00D65E7B"/>
    <w:rsid w:val="00DE22AC"/>
    <w:rsid w:val="00DF1296"/>
    <w:rsid w:val="00E05331"/>
    <w:rsid w:val="00E07C6A"/>
    <w:rsid w:val="00E31909"/>
    <w:rsid w:val="00E941D3"/>
    <w:rsid w:val="00EA3D80"/>
    <w:rsid w:val="00EB4BED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66</cp:revision>
  <dcterms:created xsi:type="dcterms:W3CDTF">2017-03-19T16:32:00Z</dcterms:created>
  <dcterms:modified xsi:type="dcterms:W3CDTF">2020-03-31T09:49:00Z</dcterms:modified>
</cp:coreProperties>
</file>