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C079" w14:textId="51260CC8" w:rsidR="004F791E" w:rsidRPr="00594AF8" w:rsidRDefault="00FD2098" w:rsidP="00594AF8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 w:rsidRPr="00594AF8">
        <w:rPr>
          <w:b/>
        </w:rPr>
        <w:t xml:space="preserve">Hospodářská politika (EVSBPHOP) - </w:t>
      </w:r>
      <w:r w:rsidR="004F791E" w:rsidRPr="00594AF8">
        <w:rPr>
          <w:b/>
        </w:rPr>
        <w:t>Nezaměstnanost v ČR</w:t>
      </w:r>
    </w:p>
    <w:p w14:paraId="23F07410" w14:textId="5B1A384E" w:rsidR="002A31A4" w:rsidRPr="002A31A4" w:rsidRDefault="000F6C9B" w:rsidP="00F979E1">
      <w:pPr>
        <w:spacing w:before="240"/>
        <w:rPr>
          <w:b/>
        </w:rPr>
      </w:pPr>
      <w:r>
        <w:rPr>
          <w:b/>
        </w:rPr>
        <w:t>Aktuální vývoj</w:t>
      </w:r>
    </w:p>
    <w:p w14:paraId="2764F069" w14:textId="6B83BB8A" w:rsidR="00416B80" w:rsidRDefault="006012FF">
      <w:r>
        <w:t>b</w:t>
      </w:r>
      <w:r w:rsidR="008C33AB">
        <w:t xml:space="preserve">řezen </w:t>
      </w:r>
      <w:r>
        <w:t>až listopad</w:t>
      </w:r>
      <w:r w:rsidR="008C33AB">
        <w:t xml:space="preserve"> 2021 – klesal</w:t>
      </w:r>
      <w:r w:rsidR="00B06958">
        <w:t xml:space="preserve"> podíl nezaměstnaných osob</w:t>
      </w:r>
      <w:r w:rsidR="00592F1D">
        <w:t xml:space="preserve"> (z </w:t>
      </w:r>
      <w:r w:rsidR="00ED4BBD">
        <w:t>4,3 % na 3,3 %)</w:t>
      </w:r>
    </w:p>
    <w:p w14:paraId="5D587C9F" w14:textId="01493DE0" w:rsidR="008C33AB" w:rsidRDefault="006012FF">
      <w:pPr>
        <w:rPr>
          <w:color w:val="000000"/>
          <w:shd w:val="clear" w:color="auto" w:fill="FFFFFF"/>
        </w:rPr>
      </w:pPr>
      <w:r>
        <w:t>prosinec</w:t>
      </w:r>
      <w:r w:rsidR="008C33AB">
        <w:t xml:space="preserve"> 2021</w:t>
      </w:r>
      <w:r w:rsidR="009E75E1">
        <w:t xml:space="preserve"> a leden 2022</w:t>
      </w:r>
      <w:r w:rsidR="008C33AB">
        <w:t xml:space="preserve"> – stoupl</w:t>
      </w:r>
      <w:r w:rsidR="00B06958">
        <w:t xml:space="preserve"> podíl nezaměstnaných osob</w:t>
      </w:r>
      <w:r w:rsidR="008C33AB">
        <w:t xml:space="preserve"> </w:t>
      </w:r>
      <w:r w:rsidR="00FE7C2B">
        <w:t xml:space="preserve">(z 3,3 % na 3,6 %) - </w:t>
      </w:r>
      <w:r>
        <w:t>jedná se ale o běžný vývoj</w:t>
      </w:r>
      <w:r w:rsidR="008C33AB">
        <w:t xml:space="preserve"> – roční </w:t>
      </w:r>
      <w:r>
        <w:t>období, konec sezónní</w:t>
      </w:r>
      <w:r w:rsidR="00A86C1D">
        <w:t>ch prací hl. v zemědělství/stavebnictví</w:t>
      </w:r>
      <w:r>
        <w:t xml:space="preserve">, </w:t>
      </w:r>
      <w:r w:rsidR="00B06958">
        <w:rPr>
          <w:color w:val="000000"/>
          <w:shd w:val="clear" w:color="auto" w:fill="FFFFFF"/>
        </w:rPr>
        <w:t>ukončení termínovaných pracovních</w:t>
      </w:r>
      <w:r w:rsidR="00594AF8">
        <w:rPr>
          <w:color w:val="000000"/>
          <w:shd w:val="clear" w:color="auto" w:fill="FFFFFF"/>
        </w:rPr>
        <w:t xml:space="preserve"> smluv a dohod, přerušení živností</w:t>
      </w:r>
    </w:p>
    <w:p w14:paraId="42DEDB41" w14:textId="557195EC" w:rsidR="002A31A4" w:rsidRPr="002A31A4" w:rsidRDefault="002A31A4" w:rsidP="00F979E1">
      <w:pPr>
        <w:spacing w:before="240"/>
        <w:rPr>
          <w:b/>
        </w:rPr>
      </w:pPr>
      <w:r w:rsidRPr="002A31A4">
        <w:rPr>
          <w:b/>
        </w:rPr>
        <w:t>Srovnání</w:t>
      </w:r>
      <w:r w:rsidR="0002637F">
        <w:rPr>
          <w:b/>
        </w:rPr>
        <w:t xml:space="preserve"> posledních 3 let</w:t>
      </w:r>
    </w:p>
    <w:p w14:paraId="3B81840A" w14:textId="65486D8E" w:rsidR="00E32C65" w:rsidRDefault="00E32C65">
      <w:r>
        <w:t xml:space="preserve">01/2020 – </w:t>
      </w:r>
      <w:r w:rsidR="00415469">
        <w:t xml:space="preserve">podíl </w:t>
      </w:r>
      <w:proofErr w:type="spellStart"/>
      <w:r w:rsidR="00415469">
        <w:t>nezam</w:t>
      </w:r>
      <w:proofErr w:type="spellEnd"/>
      <w:r w:rsidR="00415469">
        <w:t>. osob</w:t>
      </w:r>
      <w:r>
        <w:t xml:space="preserve"> 3,1 %, 230 000 </w:t>
      </w:r>
      <w:r w:rsidR="00415469">
        <w:t>uchazečů o zaměstnání</w:t>
      </w:r>
    </w:p>
    <w:p w14:paraId="5B3DEB0D" w14:textId="1187BE01" w:rsidR="00A475A5" w:rsidRDefault="00A475A5">
      <w:r>
        <w:t xml:space="preserve">01/2021 – </w:t>
      </w:r>
      <w:r w:rsidR="00415469">
        <w:t xml:space="preserve">podíl </w:t>
      </w:r>
      <w:proofErr w:type="spellStart"/>
      <w:r w:rsidR="00415469">
        <w:t>nezam</w:t>
      </w:r>
      <w:proofErr w:type="spellEnd"/>
      <w:r w:rsidR="00415469">
        <w:t>. osob</w:t>
      </w:r>
      <w:r>
        <w:t xml:space="preserve"> 4,</w:t>
      </w:r>
      <w:r w:rsidR="00AE13BD">
        <w:t xml:space="preserve">3 %, </w:t>
      </w:r>
      <w:r w:rsidR="00415469">
        <w:t>309 000 uchazečů o zaměstnání</w:t>
      </w:r>
    </w:p>
    <w:p w14:paraId="42353753" w14:textId="1F90F785" w:rsidR="00DB53DC" w:rsidRDefault="00696CF2">
      <w:r>
        <w:t xml:space="preserve">01/2022 – </w:t>
      </w:r>
      <w:r w:rsidR="00415469">
        <w:t xml:space="preserve">podíl </w:t>
      </w:r>
      <w:proofErr w:type="spellStart"/>
      <w:r w:rsidR="00415469">
        <w:t>nezam</w:t>
      </w:r>
      <w:proofErr w:type="spellEnd"/>
      <w:r w:rsidR="00415469">
        <w:t>. osob</w:t>
      </w:r>
      <w:r>
        <w:t xml:space="preserve"> 3</w:t>
      </w:r>
      <w:r w:rsidR="00AE13BD">
        <w:t xml:space="preserve">,6 %, </w:t>
      </w:r>
      <w:r w:rsidR="00415469">
        <w:t>267 076 uchazečů o zaměstnání</w:t>
      </w:r>
    </w:p>
    <w:p w14:paraId="58BB0C46" w14:textId="3701B3EE" w:rsidR="005A3219" w:rsidRDefault="005A3219" w:rsidP="00F979E1">
      <w:pPr>
        <w:spacing w:before="240"/>
      </w:pPr>
      <w:r w:rsidRPr="00594AF8">
        <w:rPr>
          <w:b/>
          <w:bCs/>
        </w:rPr>
        <w:t xml:space="preserve">Podíl nezaměstnaných v krajích </w:t>
      </w:r>
    </w:p>
    <w:p w14:paraId="1AD2B452" w14:textId="77777777" w:rsidR="005A3219" w:rsidRDefault="005A3219" w:rsidP="005A3219">
      <w:r>
        <w:t xml:space="preserve">nejnižší: Pardubický - 2,6%, Praha - 2,71% (i nejvíc volných míst – 88 500), </w:t>
      </w:r>
    </w:p>
    <w:p w14:paraId="205C6DEE" w14:textId="77777777" w:rsidR="005A3219" w:rsidRDefault="005A3219" w:rsidP="005A3219">
      <w:r>
        <w:t>nejvyšší: Moravskoslezský – 5,25%, Ústecký kraj – 5,28%, Karlovarský – 4,34%</w:t>
      </w:r>
    </w:p>
    <w:p w14:paraId="246406CA" w14:textId="57607EC9" w:rsidR="005A3219" w:rsidRDefault="005A3219" w:rsidP="00F979E1">
      <w:pPr>
        <w:spacing w:before="240"/>
        <w:rPr>
          <w:b/>
          <w:bCs/>
        </w:rPr>
      </w:pPr>
      <w:r>
        <w:rPr>
          <w:b/>
          <w:bCs/>
        </w:rPr>
        <w:t>Podíl nezaměstnaných v okresech</w:t>
      </w:r>
      <w:r w:rsidRPr="00594AF8">
        <w:rPr>
          <w:b/>
          <w:bCs/>
        </w:rPr>
        <w:t xml:space="preserve"> </w:t>
      </w:r>
    </w:p>
    <w:p w14:paraId="2C653433" w14:textId="491E61C8" w:rsidR="005A3219" w:rsidRDefault="005A3219" w:rsidP="005A3219">
      <w:r>
        <w:t>nejnižší: Praha – východ – 1,2</w:t>
      </w:r>
      <w:r w:rsidR="00412891">
        <w:t xml:space="preserve"> </w:t>
      </w:r>
      <w:r>
        <w:t>%, pod 2</w:t>
      </w:r>
      <w:r w:rsidR="00412891">
        <w:t xml:space="preserve"> </w:t>
      </w:r>
      <w:r>
        <w:t>%: Praha – západ (1,7 %), Pelhřimov (1,8 %), Benešov (1,8 %), Rychnov nad Kněžnou</w:t>
      </w:r>
    </w:p>
    <w:p w14:paraId="41904093" w14:textId="5C7852FF" w:rsidR="005A3219" w:rsidRDefault="005A3219" w:rsidP="005A3219">
      <w:r>
        <w:t xml:space="preserve">nejvyšší: </w:t>
      </w:r>
      <w:r w:rsidR="00DF4C4E">
        <w:t xml:space="preserve">Karviná 8,61 </w:t>
      </w:r>
      <w:r w:rsidRPr="00412891">
        <w:t>%,</w:t>
      </w:r>
      <w:r>
        <w:t xml:space="preserve"> Bruntál 6,8 %, Most 6,5 %</w:t>
      </w:r>
    </w:p>
    <w:p w14:paraId="5CE6A1FD" w14:textId="77777777" w:rsidR="005A3219" w:rsidRPr="00E32C65" w:rsidRDefault="005A3219" w:rsidP="00F979E1">
      <w:pPr>
        <w:spacing w:before="240"/>
        <w:rPr>
          <w:b/>
          <w:color w:val="000000"/>
          <w:shd w:val="clear" w:color="auto" w:fill="FAFBF7"/>
        </w:rPr>
      </w:pPr>
      <w:r w:rsidRPr="00E32C65">
        <w:rPr>
          <w:b/>
          <w:color w:val="000000"/>
          <w:shd w:val="clear" w:color="auto" w:fill="FAFBF7"/>
        </w:rPr>
        <w:t>Uchazeči na 1 volné </w:t>
      </w:r>
      <w:hyperlink r:id="rId7" w:tooltip="Volná pracovní místa MPSV" w:history="1">
        <w:r w:rsidRPr="00E32C65">
          <w:rPr>
            <w:rStyle w:val="Hypertextovodkaz"/>
            <w:b/>
            <w:color w:val="000000"/>
            <w:u w:val="none"/>
            <w:bdr w:val="none" w:sz="0" w:space="0" w:color="auto" w:frame="1"/>
            <w:shd w:val="clear" w:color="auto" w:fill="FAFBF7"/>
          </w:rPr>
          <w:t>pracovní místo</w:t>
        </w:r>
      </w:hyperlink>
      <w:r w:rsidRPr="00E32C65">
        <w:rPr>
          <w:b/>
          <w:color w:val="000000"/>
          <w:shd w:val="clear" w:color="auto" w:fill="FAFBF7"/>
        </w:rPr>
        <w:t> </w:t>
      </w:r>
    </w:p>
    <w:p w14:paraId="16E14BFE" w14:textId="1CCE67F4" w:rsidR="005A3219" w:rsidRDefault="007F4679" w:rsidP="005A3219">
      <w:pPr>
        <w:rPr>
          <w:color w:val="000000"/>
          <w:shd w:val="clear" w:color="auto" w:fill="FAFBF7"/>
        </w:rPr>
      </w:pPr>
      <w:r>
        <w:rPr>
          <w:color w:val="000000"/>
          <w:shd w:val="clear" w:color="auto" w:fill="FAFBF7"/>
        </w:rPr>
        <w:t>n</w:t>
      </w:r>
      <w:r w:rsidR="005A3219">
        <w:rPr>
          <w:color w:val="000000"/>
          <w:shd w:val="clear" w:color="auto" w:fill="FAFBF7"/>
        </w:rPr>
        <w:t>ejméně: Praha (0,29), Plzeňský kraj (0,35)</w:t>
      </w:r>
    </w:p>
    <w:p w14:paraId="5C2D0406" w14:textId="292DF546" w:rsidR="005A3219" w:rsidRDefault="007F4679" w:rsidP="005A3219">
      <w:pPr>
        <w:rPr>
          <w:color w:val="000000"/>
          <w:shd w:val="clear" w:color="auto" w:fill="FAFBF7"/>
        </w:rPr>
      </w:pPr>
      <w:r>
        <w:rPr>
          <w:color w:val="000000"/>
          <w:shd w:val="clear" w:color="auto" w:fill="FAFBF7"/>
        </w:rPr>
        <w:t>n</w:t>
      </w:r>
      <w:r w:rsidR="005A3219">
        <w:rPr>
          <w:color w:val="000000"/>
          <w:shd w:val="clear" w:color="auto" w:fill="FAFBF7"/>
        </w:rPr>
        <w:t>ejvíce: Moravskoslezský kraj (3,21), Ústecký kraj (1,98)</w:t>
      </w:r>
    </w:p>
    <w:p w14:paraId="698522D9" w14:textId="19891CE7" w:rsidR="005A3219" w:rsidRPr="002A31A4" w:rsidRDefault="00542FAC" w:rsidP="00F979E1">
      <w:pPr>
        <w:spacing w:before="240"/>
        <w:rPr>
          <w:b/>
        </w:rPr>
      </w:pPr>
      <w:r>
        <w:rPr>
          <w:b/>
        </w:rPr>
        <w:t>N</w:t>
      </w:r>
      <w:r w:rsidR="005A3219" w:rsidRPr="002A31A4">
        <w:rPr>
          <w:b/>
        </w:rPr>
        <w:t>ezaměstnanost</w:t>
      </w:r>
      <w:r>
        <w:rPr>
          <w:b/>
        </w:rPr>
        <w:t xml:space="preserve"> v EU</w:t>
      </w:r>
    </w:p>
    <w:p w14:paraId="3396C1BD" w14:textId="77777777" w:rsidR="005A3219" w:rsidRDefault="005A3219" w:rsidP="005A3219">
      <w:r>
        <w:t>nejnižší: ČR (2,1 %)</w:t>
      </w:r>
    </w:p>
    <w:p w14:paraId="39934082" w14:textId="082C4583" w:rsidR="005A3219" w:rsidRDefault="005A3219" w:rsidP="005A3219">
      <w:r>
        <w:t>nejvyšší: Španělsko (13 %), Řecko (12,7</w:t>
      </w:r>
      <w:r w:rsidR="00412891">
        <w:t xml:space="preserve"> </w:t>
      </w:r>
      <w:r>
        <w:t>%)</w:t>
      </w:r>
    </w:p>
    <w:p w14:paraId="611E94B0" w14:textId="2D9A012F" w:rsidR="005A3219" w:rsidRDefault="005A3219" w:rsidP="005A3219">
      <w:r>
        <w:t>průměr: 6,3</w:t>
      </w:r>
      <w:r w:rsidR="00412891">
        <w:t xml:space="preserve"> </w:t>
      </w:r>
      <w:r>
        <w:t>%</w:t>
      </w:r>
    </w:p>
    <w:p w14:paraId="179D257F" w14:textId="4D50FCDE" w:rsidR="008C5A43" w:rsidRDefault="00E755C1" w:rsidP="00F979E1">
      <w:pPr>
        <w:spacing w:before="240"/>
        <w:rPr>
          <w:b/>
        </w:rPr>
      </w:pPr>
      <w:r>
        <w:rPr>
          <w:b/>
        </w:rPr>
        <w:t>Struktura uchazečů o zaměstnání</w:t>
      </w:r>
      <w:r w:rsidR="00987AB3">
        <w:rPr>
          <w:b/>
        </w:rPr>
        <w:t xml:space="preserve"> </w:t>
      </w:r>
    </w:p>
    <w:p w14:paraId="35EAE077" w14:textId="417D6045" w:rsidR="009E75E1" w:rsidRDefault="00660EB5">
      <w:r>
        <w:t>p</w:t>
      </w:r>
      <w:r w:rsidR="009E75E1">
        <w:t xml:space="preserve">odíl nezaměstnaných osob v ČR z ohledu na pohlaví: ženy mají větší podíl než muži (50,8 % všech uchazečů – ženy; podíl </w:t>
      </w:r>
      <w:proofErr w:type="spellStart"/>
      <w:r w:rsidR="009E75E1">
        <w:t>nezam</w:t>
      </w:r>
      <w:proofErr w:type="spellEnd"/>
      <w:r w:rsidR="009E75E1">
        <w:t>. mužů: 3,5 %, žen: 3,7 %)</w:t>
      </w:r>
    </w:p>
    <w:p w14:paraId="14183CED" w14:textId="19A44882" w:rsidR="001C4EA0" w:rsidRDefault="001C4EA0">
      <w:r w:rsidRPr="001C4EA0">
        <w:t>14,4 % z </w:t>
      </w:r>
      <w:proofErr w:type="spellStart"/>
      <w:r w:rsidRPr="001C4EA0">
        <w:t>celk</w:t>
      </w:r>
      <w:proofErr w:type="spellEnd"/>
      <w:r w:rsidRPr="001C4EA0">
        <w:t xml:space="preserve">. počtu </w:t>
      </w:r>
      <w:proofErr w:type="spellStart"/>
      <w:r w:rsidRPr="001C4EA0">
        <w:t>nezam</w:t>
      </w:r>
      <w:proofErr w:type="spellEnd"/>
      <w:r w:rsidRPr="001C4EA0">
        <w:t>. – zdravotně postižení (OZP)</w:t>
      </w:r>
    </w:p>
    <w:p w14:paraId="6A20A3D3" w14:textId="1A01AC20" w:rsidR="001C4EA0" w:rsidRPr="001C4EA0" w:rsidRDefault="001C4EA0">
      <w:proofErr w:type="spellStart"/>
      <w:r>
        <w:t>prům</w:t>
      </w:r>
      <w:proofErr w:type="spellEnd"/>
      <w:r>
        <w:t xml:space="preserve">. věk uchazečů je 43,7 </w:t>
      </w:r>
      <w:r w:rsidR="00271922">
        <w:t>let</w:t>
      </w:r>
    </w:p>
    <w:p w14:paraId="277FD966" w14:textId="2E50EB66" w:rsidR="002B049F" w:rsidRDefault="00220D74">
      <w:r>
        <w:t>počet</w:t>
      </w:r>
      <w:r w:rsidR="00133366">
        <w:t xml:space="preserve"> volných </w:t>
      </w:r>
      <w:proofErr w:type="spellStart"/>
      <w:r w:rsidR="00F979E1">
        <w:t>prac</w:t>
      </w:r>
      <w:proofErr w:type="spellEnd"/>
      <w:r w:rsidR="00F979E1">
        <w:t xml:space="preserve">. </w:t>
      </w:r>
      <w:r w:rsidR="00133366">
        <w:t xml:space="preserve">míst: cca </w:t>
      </w:r>
      <w:r w:rsidR="00987418">
        <w:t>351</w:t>
      </w:r>
      <w:r w:rsidR="001B7555">
        <w:t> </w:t>
      </w:r>
      <w:r w:rsidR="00987418">
        <w:t>680</w:t>
      </w:r>
      <w:r w:rsidR="001B7555">
        <w:t>;</w:t>
      </w:r>
      <w:r w:rsidR="00660EB5">
        <w:t xml:space="preserve"> počet uchazečů: 267 076</w:t>
      </w:r>
    </w:p>
    <w:p w14:paraId="494E1127" w14:textId="1FA68E35" w:rsidR="002B049F" w:rsidRDefault="00220D74">
      <w:r>
        <w:t>u 75</w:t>
      </w:r>
      <w:r w:rsidR="00CA7234">
        <w:t xml:space="preserve"> </w:t>
      </w:r>
      <w:r>
        <w:t>% volných</w:t>
      </w:r>
      <w:r w:rsidR="00B06958">
        <w:t xml:space="preserve"> </w:t>
      </w:r>
      <w:proofErr w:type="spellStart"/>
      <w:r w:rsidR="00B06958">
        <w:t>prac</w:t>
      </w:r>
      <w:proofErr w:type="spellEnd"/>
      <w:r w:rsidR="00B06958">
        <w:t>.</w:t>
      </w:r>
      <w:r>
        <w:t xml:space="preserve"> míst stačí </w:t>
      </w:r>
      <w:r w:rsidR="00CA7234">
        <w:t>min. vzdělání ZŠ;</w:t>
      </w:r>
      <w:r w:rsidR="00DA2484">
        <w:t xml:space="preserve"> přes 70</w:t>
      </w:r>
      <w:r w:rsidR="00CA7234">
        <w:t xml:space="preserve"> </w:t>
      </w:r>
      <w:r w:rsidR="00DA2484">
        <w:t>% volných pozic</w:t>
      </w:r>
      <w:r w:rsidR="00996E81">
        <w:t xml:space="preserve"> i pro cizince</w:t>
      </w:r>
    </w:p>
    <w:p w14:paraId="726A316E" w14:textId="74ED9959" w:rsidR="00594AF8" w:rsidRDefault="00DA2484">
      <w:r>
        <w:t>největší složka nezaměstnaných – pomocní a nekvalifikovaní pracovníci (</w:t>
      </w:r>
      <w:r w:rsidR="001C4EA0">
        <w:t>80 006</w:t>
      </w:r>
      <w:r>
        <w:t>)</w:t>
      </w:r>
    </w:p>
    <w:p w14:paraId="1E57F44C" w14:textId="7DC72739" w:rsidR="007A531E" w:rsidRDefault="00CA7234" w:rsidP="007A531E">
      <w:r>
        <w:t>p</w:t>
      </w:r>
      <w:r w:rsidR="007B4323">
        <w:t>odpora</w:t>
      </w:r>
      <w:r w:rsidR="007A531E">
        <w:t xml:space="preserve"> v</w:t>
      </w:r>
      <w:r w:rsidR="007B4323">
        <w:t> </w:t>
      </w:r>
      <w:r w:rsidR="007A531E">
        <w:t>nezaměstnanosti</w:t>
      </w:r>
      <w:r w:rsidR="007B4323">
        <w:t>:</w:t>
      </w:r>
      <w:r w:rsidR="007A531E">
        <w:t xml:space="preserve"> 90 </w:t>
      </w:r>
      <w:r w:rsidR="001432EA">
        <w:t xml:space="preserve">021 osob (1/3 všech uchazečů), </w:t>
      </w:r>
      <w:r w:rsidR="00BA1813">
        <w:t>průměrně</w:t>
      </w:r>
      <w:r w:rsidR="00D54486">
        <w:t xml:space="preserve"> 9 273 Kč</w:t>
      </w:r>
      <w:r w:rsidR="002C32F2">
        <w:t xml:space="preserve"> na jednoho</w:t>
      </w:r>
    </w:p>
    <w:p w14:paraId="7ABDE714" w14:textId="77777777" w:rsidR="009E75E1" w:rsidRPr="002B049F" w:rsidRDefault="009E75E1" w:rsidP="00F979E1">
      <w:pPr>
        <w:spacing w:before="240"/>
        <w:rPr>
          <w:b/>
        </w:rPr>
      </w:pPr>
      <w:r>
        <w:rPr>
          <w:b/>
        </w:rPr>
        <w:t>ČR - jaro 2022</w:t>
      </w:r>
    </w:p>
    <w:p w14:paraId="6256E812" w14:textId="77777777" w:rsidR="009E75E1" w:rsidRDefault="009E75E1" w:rsidP="009E75E1">
      <w:r>
        <w:t>pravděpodobně pokles míry nezaměstnanosti i pod 3 % (vliv sezónního vývoje)</w:t>
      </w:r>
    </w:p>
    <w:p w14:paraId="65792A08" w14:textId="7F462A23" w:rsidR="00E83184" w:rsidRPr="00F979E1" w:rsidRDefault="00B168D1">
      <w:r>
        <w:t>dopad konfliktu na Ukrajině - ?</w:t>
      </w:r>
    </w:p>
    <w:sectPr w:rsidR="00E83184" w:rsidRPr="00F979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647F2" w14:textId="77777777" w:rsidR="009A7F2F" w:rsidRDefault="009A7F2F" w:rsidP="00FD2098">
      <w:r>
        <w:separator/>
      </w:r>
    </w:p>
  </w:endnote>
  <w:endnote w:type="continuationSeparator" w:id="0">
    <w:p w14:paraId="0EDA4219" w14:textId="77777777" w:rsidR="009A7F2F" w:rsidRDefault="009A7F2F" w:rsidP="00F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08E8" w14:textId="7491AC18" w:rsidR="00987AB3" w:rsidRDefault="00987AB3" w:rsidP="00987AB3">
    <w:pPr>
      <w:rPr>
        <w:i/>
      </w:rPr>
    </w:pPr>
    <w:r w:rsidRPr="00C9721D">
      <w:rPr>
        <w:i/>
      </w:rPr>
      <w:t>*Počty jsou vztaženy k datu 31. 1. 2022</w:t>
    </w:r>
    <w:r w:rsidR="00412891" w:rsidRPr="00C9721D">
      <w:rPr>
        <w:i/>
      </w:rPr>
      <w:t>.</w:t>
    </w:r>
  </w:p>
  <w:p w14:paraId="67B38F3B" w14:textId="796808F9" w:rsidR="00987AB3" w:rsidRPr="00F70201" w:rsidRDefault="00F70201" w:rsidP="00F70201">
    <w:pPr>
      <w:rPr>
        <w:i/>
      </w:rPr>
    </w:pPr>
    <w:r>
      <w:rPr>
        <w:i/>
      </w:rPr>
      <w:t>Zdroje: Úřad práce ČR, MPSV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1BBFE" w14:textId="77777777" w:rsidR="009A7F2F" w:rsidRDefault="009A7F2F" w:rsidP="00FD2098">
      <w:r>
        <w:separator/>
      </w:r>
    </w:p>
  </w:footnote>
  <w:footnote w:type="continuationSeparator" w:id="0">
    <w:p w14:paraId="5926381C" w14:textId="77777777" w:rsidR="009A7F2F" w:rsidRDefault="009A7F2F" w:rsidP="00FD2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9EEFA" w14:textId="61F6976F" w:rsidR="00FD2098" w:rsidRPr="00F979E1" w:rsidRDefault="00365EE6" w:rsidP="00F979E1">
    <w:pPr>
      <w:pStyle w:val="Zhlav"/>
      <w:jc w:val="right"/>
      <w:rPr>
        <w:i/>
      </w:rPr>
    </w:pPr>
    <w:r>
      <w:rPr>
        <w:i/>
      </w:rPr>
      <w:t>Daniel Mikušť</w:t>
    </w:r>
    <w:r w:rsidR="00FD2098" w:rsidRPr="00594AF8">
      <w:rPr>
        <w:i/>
      </w:rPr>
      <w:t>ák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E11DC"/>
    <w:multiLevelType w:val="hybridMultilevel"/>
    <w:tmpl w:val="97423212"/>
    <w:lvl w:ilvl="0" w:tplc="AA3E8442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66"/>
    <w:rsid w:val="00007142"/>
    <w:rsid w:val="0002637F"/>
    <w:rsid w:val="00061708"/>
    <w:rsid w:val="00093F47"/>
    <w:rsid w:val="000C67DF"/>
    <w:rsid w:val="000C7171"/>
    <w:rsid w:val="000F6C9B"/>
    <w:rsid w:val="00133366"/>
    <w:rsid w:val="001432EA"/>
    <w:rsid w:val="0019798C"/>
    <w:rsid w:val="001B0019"/>
    <w:rsid w:val="001B7555"/>
    <w:rsid w:val="001C4EA0"/>
    <w:rsid w:val="002027E2"/>
    <w:rsid w:val="00212B32"/>
    <w:rsid w:val="00220D74"/>
    <w:rsid w:val="00265C6F"/>
    <w:rsid w:val="00271922"/>
    <w:rsid w:val="002A31A4"/>
    <w:rsid w:val="002B049F"/>
    <w:rsid w:val="002B1FED"/>
    <w:rsid w:val="002C32F2"/>
    <w:rsid w:val="00365EE6"/>
    <w:rsid w:val="003D742D"/>
    <w:rsid w:val="00412891"/>
    <w:rsid w:val="00412988"/>
    <w:rsid w:val="00415469"/>
    <w:rsid w:val="00416B80"/>
    <w:rsid w:val="00422B0B"/>
    <w:rsid w:val="00431F95"/>
    <w:rsid w:val="00450080"/>
    <w:rsid w:val="004F791E"/>
    <w:rsid w:val="00517A66"/>
    <w:rsid w:val="00542FAC"/>
    <w:rsid w:val="0056696B"/>
    <w:rsid w:val="00592F1D"/>
    <w:rsid w:val="00594AF8"/>
    <w:rsid w:val="005A3219"/>
    <w:rsid w:val="006012FF"/>
    <w:rsid w:val="0062613D"/>
    <w:rsid w:val="006405EC"/>
    <w:rsid w:val="00645AB4"/>
    <w:rsid w:val="006543BF"/>
    <w:rsid w:val="00660EB5"/>
    <w:rsid w:val="00684058"/>
    <w:rsid w:val="00696CF2"/>
    <w:rsid w:val="006C4A60"/>
    <w:rsid w:val="006E664C"/>
    <w:rsid w:val="007554E1"/>
    <w:rsid w:val="00797265"/>
    <w:rsid w:val="007A531E"/>
    <w:rsid w:val="007B4323"/>
    <w:rsid w:val="007F4679"/>
    <w:rsid w:val="00802D95"/>
    <w:rsid w:val="00823EB1"/>
    <w:rsid w:val="00830C80"/>
    <w:rsid w:val="00852A6A"/>
    <w:rsid w:val="008A01E9"/>
    <w:rsid w:val="008B2591"/>
    <w:rsid w:val="008C33AB"/>
    <w:rsid w:val="008C5A43"/>
    <w:rsid w:val="008F3AEA"/>
    <w:rsid w:val="009562BD"/>
    <w:rsid w:val="009720D6"/>
    <w:rsid w:val="00972831"/>
    <w:rsid w:val="00987418"/>
    <w:rsid w:val="00987AB3"/>
    <w:rsid w:val="00991756"/>
    <w:rsid w:val="00991EC7"/>
    <w:rsid w:val="00996E81"/>
    <w:rsid w:val="009A7F2F"/>
    <w:rsid w:val="009D6060"/>
    <w:rsid w:val="009E75E1"/>
    <w:rsid w:val="00A42215"/>
    <w:rsid w:val="00A475A5"/>
    <w:rsid w:val="00A57225"/>
    <w:rsid w:val="00A86C1D"/>
    <w:rsid w:val="00AA3CBE"/>
    <w:rsid w:val="00AE13BD"/>
    <w:rsid w:val="00B06958"/>
    <w:rsid w:val="00B168D1"/>
    <w:rsid w:val="00B26974"/>
    <w:rsid w:val="00B27B4D"/>
    <w:rsid w:val="00BA1813"/>
    <w:rsid w:val="00C23E63"/>
    <w:rsid w:val="00C83053"/>
    <w:rsid w:val="00C9721D"/>
    <w:rsid w:val="00C979E1"/>
    <w:rsid w:val="00CA7234"/>
    <w:rsid w:val="00D00BE3"/>
    <w:rsid w:val="00D137DF"/>
    <w:rsid w:val="00D500BC"/>
    <w:rsid w:val="00D54486"/>
    <w:rsid w:val="00D573DD"/>
    <w:rsid w:val="00D70917"/>
    <w:rsid w:val="00DA2484"/>
    <w:rsid w:val="00DB53DC"/>
    <w:rsid w:val="00DB628A"/>
    <w:rsid w:val="00DD73C1"/>
    <w:rsid w:val="00DF4519"/>
    <w:rsid w:val="00DF4C4E"/>
    <w:rsid w:val="00E32C65"/>
    <w:rsid w:val="00E4177C"/>
    <w:rsid w:val="00E755C1"/>
    <w:rsid w:val="00E83184"/>
    <w:rsid w:val="00EA47A2"/>
    <w:rsid w:val="00EB39FA"/>
    <w:rsid w:val="00ED4BBD"/>
    <w:rsid w:val="00F234E4"/>
    <w:rsid w:val="00F25E15"/>
    <w:rsid w:val="00F5235F"/>
    <w:rsid w:val="00F70201"/>
    <w:rsid w:val="00F979E1"/>
    <w:rsid w:val="00FD2098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FFD4"/>
  <w15:docId w15:val="{74C6E4F6-81B4-4148-B43B-F66E3700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B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7B4D"/>
    <w:pPr>
      <w:keepNext/>
      <w:spacing w:before="240" w:after="60"/>
      <w:outlineLvl w:val="0"/>
    </w:pPr>
    <w:rPr>
      <w:rFonts w:ascii="Arial" w:hAnsi="Arial" w:cs="Arial"/>
      <w:b/>
      <w:bCs/>
      <w:color w:val="000000" w:themeColor="text1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27B4D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7B4D"/>
    <w:rPr>
      <w:rFonts w:ascii="Arial" w:hAnsi="Arial" w:cs="Arial"/>
      <w:b/>
      <w:bCs/>
      <w:color w:val="000000" w:themeColor="text1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7B4D"/>
    <w:rPr>
      <w:rFonts w:ascii="Arial" w:hAnsi="Arial" w:cs="Arial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412988"/>
    <w:rPr>
      <w:color w:val="0000FF"/>
      <w:u w:val="single"/>
    </w:rPr>
  </w:style>
  <w:style w:type="paragraph" w:customStyle="1" w:styleId="mb-a-0">
    <w:name w:val="mb-a-0"/>
    <w:basedOn w:val="Normln"/>
    <w:rsid w:val="003D742D"/>
    <w:pPr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2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209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20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2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562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38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ce.kurzy.cz/urad-prace/volna-mi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Zkouška</dc:creator>
  <cp:lastModifiedBy>Eva Kotlánová</cp:lastModifiedBy>
  <cp:revision>2</cp:revision>
  <dcterms:created xsi:type="dcterms:W3CDTF">2022-03-01T09:11:00Z</dcterms:created>
  <dcterms:modified xsi:type="dcterms:W3CDTF">2022-03-01T09:11:00Z</dcterms:modified>
</cp:coreProperties>
</file>