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5D3" w14:textId="5C59A781" w:rsidR="001A05FB" w:rsidRDefault="001A05FB" w:rsidP="001A05FB">
      <w:pPr>
        <w:pStyle w:val="Nadpis1"/>
        <w:rPr>
          <w:b/>
          <w:bCs/>
          <w:color w:val="000000" w:themeColor="text1"/>
        </w:rPr>
      </w:pPr>
      <w:bookmarkStart w:id="0" w:name="_GoBack"/>
      <w:bookmarkEnd w:id="0"/>
      <w:r w:rsidRPr="001A05FB">
        <w:rPr>
          <w:b/>
          <w:bCs/>
          <w:color w:val="000000" w:themeColor="text1"/>
        </w:rPr>
        <w:t>HRUBÝ DOMÁCÍ PRODUKT</w:t>
      </w:r>
    </w:p>
    <w:p w14:paraId="0E5BE91D" w14:textId="770AB9A0" w:rsidR="001A05FB" w:rsidRDefault="001A05FB" w:rsidP="001A05FB"/>
    <w:p w14:paraId="6CEAEEF7" w14:textId="20EA2A9D" w:rsidR="001A05FB" w:rsidRDefault="001A05FB" w:rsidP="001A05FB">
      <w:r w:rsidRPr="001A05FB">
        <w:rPr>
          <w:b/>
          <w:bCs/>
          <w:i/>
          <w:iCs/>
        </w:rPr>
        <w:t>HDP</w:t>
      </w:r>
      <w:r w:rsidRPr="001A05FB">
        <w:t xml:space="preserve"> je peněžní vyjádření součtu všech statků a služeb vyprodukovaných</w:t>
      </w:r>
      <w:r w:rsidRPr="001A05FB">
        <w:tab/>
        <w:t>na daném území v daný čas výrobními faktory alokovanými na daném území bez ohledu na to, kdo je vlastní</w:t>
      </w:r>
      <w:r>
        <w:t>.</w:t>
      </w:r>
    </w:p>
    <w:p w14:paraId="0870EFED" w14:textId="43FE487C" w:rsidR="001A05FB" w:rsidRDefault="001A05FB" w:rsidP="001A05FB">
      <w:r>
        <w:t xml:space="preserve">Dělí se na </w:t>
      </w:r>
      <w:r w:rsidRPr="001A05FB">
        <w:rPr>
          <w:b/>
          <w:bCs/>
        </w:rPr>
        <w:t>nominální</w:t>
      </w:r>
      <w:r>
        <w:t xml:space="preserve"> a </w:t>
      </w:r>
      <w:r w:rsidRPr="001A05FB">
        <w:rPr>
          <w:b/>
          <w:bCs/>
        </w:rPr>
        <w:t xml:space="preserve">reálný </w:t>
      </w:r>
      <w:r>
        <w:t xml:space="preserve">hrubý domácí produkt. </w:t>
      </w:r>
    </w:p>
    <w:p w14:paraId="4D43DC2A" w14:textId="3F62184A" w:rsidR="001A05FB" w:rsidRDefault="001A05FB" w:rsidP="001A05FB"/>
    <w:p w14:paraId="314AB157" w14:textId="49CEA6B5" w:rsidR="001A05FB" w:rsidRPr="00DC3B4E" w:rsidRDefault="001A05FB" w:rsidP="001A05FB">
      <w:pPr>
        <w:rPr>
          <w:b/>
          <w:bCs/>
        </w:rPr>
      </w:pPr>
      <w:r w:rsidRPr="00DC3B4E">
        <w:rPr>
          <w:b/>
          <w:bCs/>
        </w:rPr>
        <w:t>HDP se dá vypočítat třemi metodami</w:t>
      </w:r>
      <w:r w:rsidR="00DC3B4E">
        <w:rPr>
          <w:b/>
          <w:bCs/>
        </w:rPr>
        <w:t xml:space="preserve">: </w:t>
      </w:r>
      <w:r w:rsidRPr="00DC3B4E">
        <w:rPr>
          <w:b/>
          <w:bCs/>
        </w:rPr>
        <w:t xml:space="preserve"> </w:t>
      </w:r>
    </w:p>
    <w:p w14:paraId="613CA7DF" w14:textId="2B01572E" w:rsidR="001A05FB" w:rsidRPr="00DC3B4E" w:rsidRDefault="00DC3B4E" w:rsidP="001A05FB">
      <w:pPr>
        <w:pStyle w:val="Odstavecseseznamem"/>
        <w:numPr>
          <w:ilvl w:val="0"/>
          <w:numId w:val="2"/>
        </w:numPr>
        <w:rPr>
          <w:i/>
          <w:iCs/>
        </w:rPr>
      </w:pPr>
      <w:r w:rsidRPr="00DC3B4E">
        <w:rPr>
          <w:i/>
          <w:iCs/>
        </w:rPr>
        <w:t>produkční metodou</w:t>
      </w:r>
    </w:p>
    <w:p w14:paraId="359FA451" w14:textId="7B5A2E83" w:rsidR="00DC3B4E" w:rsidRPr="00DC3B4E" w:rsidRDefault="00DC3B4E" w:rsidP="001A05FB">
      <w:pPr>
        <w:pStyle w:val="Odstavecseseznamem"/>
        <w:numPr>
          <w:ilvl w:val="0"/>
          <w:numId w:val="2"/>
        </w:numPr>
        <w:rPr>
          <w:i/>
          <w:iCs/>
        </w:rPr>
      </w:pPr>
      <w:r w:rsidRPr="00DC3B4E">
        <w:rPr>
          <w:i/>
          <w:iCs/>
        </w:rPr>
        <w:t>výdajovou metodou</w:t>
      </w:r>
    </w:p>
    <w:p w14:paraId="41C3AC05" w14:textId="1A7E3834" w:rsidR="00DC3B4E" w:rsidRDefault="00DC3B4E" w:rsidP="001A05FB">
      <w:pPr>
        <w:pStyle w:val="Odstavecseseznamem"/>
        <w:numPr>
          <w:ilvl w:val="0"/>
          <w:numId w:val="2"/>
        </w:numPr>
        <w:rPr>
          <w:i/>
          <w:iCs/>
        </w:rPr>
      </w:pPr>
      <w:r w:rsidRPr="00DC3B4E">
        <w:rPr>
          <w:i/>
          <w:iCs/>
        </w:rPr>
        <w:t>důchodovou metodou</w:t>
      </w:r>
    </w:p>
    <w:p w14:paraId="1745BB98" w14:textId="57FE5481" w:rsidR="00DC3B4E" w:rsidRDefault="00DC3B4E" w:rsidP="00DC3B4E">
      <w:pPr>
        <w:rPr>
          <w:i/>
          <w:iCs/>
        </w:rPr>
      </w:pPr>
    </w:p>
    <w:p w14:paraId="79CBE7DE" w14:textId="29BAD83F" w:rsidR="00DC3B4E" w:rsidRDefault="00DC3B4E" w:rsidP="00DC3B4E">
      <w:pPr>
        <w:rPr>
          <w:b/>
          <w:bCs/>
        </w:rPr>
      </w:pPr>
      <w:r w:rsidRPr="00DC3B4E">
        <w:rPr>
          <w:b/>
          <w:bCs/>
        </w:rPr>
        <w:t xml:space="preserve">Růst HDP v eurozóně a v EU od roku 2006 čtvrtletně v % </w:t>
      </w:r>
    </w:p>
    <w:p w14:paraId="562B89B9" w14:textId="2F421E59" w:rsidR="00DC3B4E" w:rsidRDefault="00DC3B4E" w:rsidP="00DC3B4E">
      <w:pPr>
        <w:pStyle w:val="Odstavecseseznamem"/>
        <w:numPr>
          <w:ilvl w:val="0"/>
          <w:numId w:val="3"/>
        </w:numPr>
      </w:pPr>
      <w:r w:rsidRPr="00DC3B4E">
        <w:rPr>
          <w:noProof/>
        </w:rPr>
        <w:drawing>
          <wp:anchor distT="0" distB="0" distL="114300" distR="114300" simplePos="0" relativeHeight="251658240" behindDoc="0" locked="0" layoutInCell="1" allowOverlap="1" wp14:anchorId="7572D1E0" wp14:editId="483B435B">
            <wp:simplePos x="0" y="0"/>
            <wp:positionH relativeFrom="margin">
              <wp:posOffset>2151938</wp:posOffset>
            </wp:positionH>
            <wp:positionV relativeFrom="margin">
              <wp:posOffset>2709746</wp:posOffset>
            </wp:positionV>
            <wp:extent cx="4043946" cy="2074127"/>
            <wp:effectExtent l="0" t="0" r="0" b="0"/>
            <wp:wrapSquare wrapText="bothSides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683535EE-1E6B-BA45-887C-1F75146293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683535EE-1E6B-BA45-887C-1F75146293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946" cy="207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Růst HDP (v běžných cenách) EU -28 EVROPSKÉ UNIE se v roce 2008 podstatně zpomalil a v důsledku globální finanční a hospodářské krize se HDP v roce 2009 výrazně snížil. </w:t>
      </w:r>
    </w:p>
    <w:p w14:paraId="7735FCEF" w14:textId="77777777" w:rsidR="00CB0F1A" w:rsidRDefault="00DC3B4E" w:rsidP="00CB0F1A">
      <w:pPr>
        <w:pStyle w:val="Odstavecseseznamem"/>
        <w:numPr>
          <w:ilvl w:val="0"/>
          <w:numId w:val="3"/>
        </w:numPr>
      </w:pPr>
      <w:r>
        <w:t>V roce 2010 došlo ve 23 členských státech k obnovení hospodářského růstu</w:t>
      </w:r>
    </w:p>
    <w:p w14:paraId="316CFC3E" w14:textId="77777777" w:rsidR="00CB0F1A" w:rsidRDefault="00DC3B4E" w:rsidP="00CB0F1A">
      <w:pPr>
        <w:pStyle w:val="Odstavecseseznamem"/>
        <w:numPr>
          <w:ilvl w:val="0"/>
          <w:numId w:val="3"/>
        </w:numPr>
      </w:pPr>
      <w:r>
        <w:t xml:space="preserve">Okolo roku 2012-13 můžeme vidět dluhovou krizi v eurozóně </w:t>
      </w:r>
      <w:r w:rsidR="00CB0F1A">
        <w:tab/>
      </w:r>
      <w:r w:rsidR="00CB0F1A">
        <w:tab/>
      </w:r>
      <w:r w:rsidR="00CB0F1A">
        <w:tab/>
      </w:r>
      <w:r w:rsidR="00CB0F1A">
        <w:tab/>
      </w:r>
      <w:r w:rsidR="00CB0F1A">
        <w:tab/>
      </w:r>
    </w:p>
    <w:p w14:paraId="71B98F97" w14:textId="4D7D82BA" w:rsidR="00CB0F1A" w:rsidRPr="00CB0F1A" w:rsidRDefault="00CB0F1A" w:rsidP="00CB0F1A">
      <w:pPr>
        <w:pStyle w:val="Odstavecseseznamem"/>
        <w:jc w:val="right"/>
      </w:pPr>
      <w:r w:rsidRPr="00CB0F1A">
        <w:rPr>
          <w:b/>
          <w:bCs/>
          <w:color w:val="BFBFBF" w:themeColor="background1" w:themeShade="BF"/>
        </w:rPr>
        <w:t xml:space="preserve">Zdroj: </w:t>
      </w:r>
      <w:r w:rsidRPr="00CB0F1A">
        <w:rPr>
          <w:color w:val="BFBFBF" w:themeColor="background1" w:themeShade="BF"/>
        </w:rPr>
        <w:t xml:space="preserve">OECD: </w:t>
      </w:r>
      <w:proofErr w:type="spellStart"/>
      <w:r w:rsidRPr="00CB0F1A">
        <w:rPr>
          <w:color w:val="BFBFBF" w:themeColor="background1" w:themeShade="BF"/>
        </w:rPr>
        <w:t>Quarterly</w:t>
      </w:r>
      <w:proofErr w:type="spellEnd"/>
      <w:r w:rsidRPr="00CB0F1A">
        <w:rPr>
          <w:color w:val="BFBFBF" w:themeColor="background1" w:themeShade="BF"/>
        </w:rPr>
        <w:t xml:space="preserve"> </w:t>
      </w:r>
      <w:proofErr w:type="spellStart"/>
      <w:r w:rsidRPr="00CB0F1A">
        <w:rPr>
          <w:color w:val="BFBFBF" w:themeColor="background1" w:themeShade="BF"/>
        </w:rPr>
        <w:t>National</w:t>
      </w:r>
      <w:proofErr w:type="spellEnd"/>
      <w:r w:rsidRPr="00CB0F1A">
        <w:rPr>
          <w:color w:val="BFBFBF" w:themeColor="background1" w:themeShade="BF"/>
        </w:rPr>
        <w:t xml:space="preserve"> </w:t>
      </w:r>
      <w:proofErr w:type="spellStart"/>
      <w:r w:rsidRPr="00CB0F1A">
        <w:rPr>
          <w:color w:val="BFBFBF" w:themeColor="background1" w:themeShade="BF"/>
        </w:rPr>
        <w:t>Accounts</w:t>
      </w:r>
      <w:proofErr w:type="spellEnd"/>
      <w:r w:rsidRPr="00CB0F1A">
        <w:rPr>
          <w:color w:val="BFBFBF" w:themeColor="background1" w:themeShade="BF"/>
        </w:rPr>
        <w:t xml:space="preserve">; </w:t>
      </w:r>
      <w:r>
        <w:rPr>
          <w:color w:val="BFBFBF" w:themeColor="background1" w:themeShade="BF"/>
        </w:rPr>
        <w:br/>
      </w:r>
      <w:proofErr w:type="spellStart"/>
      <w:r w:rsidRPr="00CB0F1A">
        <w:rPr>
          <w:color w:val="BFBFBF" w:themeColor="background1" w:themeShade="BF"/>
        </w:rPr>
        <w:t>Eurostat</w:t>
      </w:r>
      <w:proofErr w:type="spellEnd"/>
      <w:r w:rsidRPr="00CB0F1A">
        <w:rPr>
          <w:color w:val="BFBFBF" w:themeColor="background1" w:themeShade="BF"/>
        </w:rPr>
        <w:t xml:space="preserve">: </w:t>
      </w:r>
      <w:proofErr w:type="spellStart"/>
      <w:r w:rsidRPr="00CB0F1A">
        <w:rPr>
          <w:color w:val="BFBFBF" w:themeColor="background1" w:themeShade="BF"/>
        </w:rPr>
        <w:t>Growth</w:t>
      </w:r>
      <w:proofErr w:type="spellEnd"/>
      <w:r w:rsidRPr="00CB0F1A">
        <w:rPr>
          <w:color w:val="BFBFBF" w:themeColor="background1" w:themeShade="BF"/>
        </w:rPr>
        <w:t xml:space="preserve"> </w:t>
      </w:r>
      <w:proofErr w:type="spellStart"/>
      <w:r w:rsidRPr="00CB0F1A">
        <w:rPr>
          <w:color w:val="BFBFBF" w:themeColor="background1" w:themeShade="BF"/>
        </w:rPr>
        <w:t>rates</w:t>
      </w:r>
      <w:proofErr w:type="spellEnd"/>
      <w:r w:rsidRPr="00CB0F1A">
        <w:rPr>
          <w:color w:val="BFBFBF" w:themeColor="background1" w:themeShade="BF"/>
        </w:rPr>
        <w:t xml:space="preserve"> </w:t>
      </w:r>
      <w:proofErr w:type="spellStart"/>
      <w:r w:rsidRPr="00CB0F1A">
        <w:rPr>
          <w:color w:val="BFBFBF" w:themeColor="background1" w:themeShade="BF"/>
        </w:rPr>
        <w:t>of</w:t>
      </w:r>
      <w:proofErr w:type="spellEnd"/>
      <w:r w:rsidRPr="00CB0F1A">
        <w:rPr>
          <w:color w:val="BFBFBF" w:themeColor="background1" w:themeShade="BF"/>
        </w:rPr>
        <w:t xml:space="preserve"> GDP, </w:t>
      </w:r>
      <w:proofErr w:type="spellStart"/>
      <w:r w:rsidRPr="00CB0F1A">
        <w:rPr>
          <w:color w:val="BFBFBF" w:themeColor="background1" w:themeShade="BF"/>
        </w:rPr>
        <w:t>Eurostat</w:t>
      </w:r>
      <w:proofErr w:type="spellEnd"/>
      <w:r w:rsidRPr="00CB0F1A">
        <w:rPr>
          <w:color w:val="BFBFBF" w:themeColor="background1" w:themeShade="BF"/>
        </w:rPr>
        <w:t xml:space="preserve"> </w:t>
      </w:r>
    </w:p>
    <w:p w14:paraId="01FD1585" w14:textId="76C6775B" w:rsidR="00DC3B4E" w:rsidRPr="00CB0F1A" w:rsidRDefault="00DC3B4E" w:rsidP="00CB0F1A">
      <w:pPr>
        <w:pStyle w:val="Odstavecseseznamem"/>
        <w:jc w:val="right"/>
        <w:rPr>
          <w:color w:val="BFBFBF" w:themeColor="background1" w:themeShade="BF"/>
        </w:rPr>
      </w:pPr>
    </w:p>
    <w:p w14:paraId="2472DFE6" w14:textId="0E785388" w:rsidR="00DC3B4E" w:rsidRDefault="00DC3B4E" w:rsidP="00DC3B4E"/>
    <w:p w14:paraId="392951FD" w14:textId="40A3DA35" w:rsidR="00DC3B4E" w:rsidRDefault="00DC3B4E" w:rsidP="00DC3B4E">
      <w:pPr>
        <w:rPr>
          <w:b/>
          <w:bCs/>
        </w:rPr>
      </w:pPr>
      <w:r w:rsidRPr="00DC3B4E">
        <w:rPr>
          <w:b/>
          <w:bCs/>
        </w:rPr>
        <w:t>Tvorba a užití HDP v roce 2021</w:t>
      </w:r>
    </w:p>
    <w:p w14:paraId="68F6E93C" w14:textId="77777777" w:rsidR="00DC3B4E" w:rsidRDefault="00DC3B4E" w:rsidP="00DC3B4E">
      <w:pPr>
        <w:rPr>
          <w:b/>
          <w:bCs/>
        </w:rPr>
      </w:pPr>
    </w:p>
    <w:p w14:paraId="53697894" w14:textId="27F13C88" w:rsidR="00DC3B4E" w:rsidRDefault="00DC3B4E" w:rsidP="00DC3B4E">
      <w:pPr>
        <w:jc w:val="center"/>
      </w:pPr>
      <w:r w:rsidRPr="00DC3B4E">
        <w:rPr>
          <w:noProof/>
        </w:rPr>
        <w:drawing>
          <wp:inline distT="0" distB="0" distL="0" distR="0" wp14:anchorId="2709D9C5" wp14:editId="33E3AE56">
            <wp:extent cx="4672361" cy="1206203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653" cy="128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3702E" w14:textId="77777777" w:rsidR="00CB0F1A" w:rsidRPr="00CB0F1A" w:rsidRDefault="00CB0F1A" w:rsidP="00CB0F1A">
      <w:pPr>
        <w:jc w:val="center"/>
        <w:rPr>
          <w:i/>
          <w:iCs/>
        </w:rPr>
      </w:pPr>
      <w:r w:rsidRPr="00CB0F1A">
        <w:rPr>
          <w:i/>
          <w:iCs/>
          <w:color w:val="BFBFBF" w:themeColor="background1" w:themeShade="BF"/>
        </w:rPr>
        <w:t>Zdroj: https://www.czso.cz/csu/czso/cri/tvorba-a-uziti-hdp-4-ctvrtleti-2021</w:t>
      </w:r>
    </w:p>
    <w:p w14:paraId="6CAC0897" w14:textId="77777777" w:rsidR="00CB0F1A" w:rsidRDefault="00CB0F1A" w:rsidP="00DC3B4E">
      <w:pPr>
        <w:jc w:val="center"/>
      </w:pPr>
    </w:p>
    <w:p w14:paraId="444EA682" w14:textId="1856A205" w:rsidR="00DC3B4E" w:rsidRDefault="00DC3B4E" w:rsidP="00DC3B4E">
      <w:pPr>
        <w:jc w:val="center"/>
      </w:pPr>
    </w:p>
    <w:p w14:paraId="041A5019" w14:textId="630D0936" w:rsidR="00DC3B4E" w:rsidRPr="00CB0F1A" w:rsidRDefault="00CB0F1A" w:rsidP="00DC3B4E">
      <w:pPr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</w:pPr>
      <w:r w:rsidRPr="00CB0F1A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H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rubý domácí produkt</w:t>
      </w:r>
      <w:r w:rsidR="00DC3B4E" w:rsidRPr="00CB0F1A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 xml:space="preserve"> vzrostl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 xml:space="preserve"> ve </w:t>
      </w:r>
      <w:r w:rsidR="00DC3B4E" w:rsidRPr="00745BF2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  <w:t>4. čtvrtletí 2021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 </w:t>
      </w:r>
      <w:proofErr w:type="spellStart"/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mezičtvrtletně</w:t>
      </w:r>
      <w:proofErr w:type="spellEnd"/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 o </w:t>
      </w:r>
      <w:r w:rsidR="00DC3B4E" w:rsidRPr="00745BF2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  <w:t>0,9 %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 xml:space="preserve"> a meziročně o </w:t>
      </w:r>
      <w:r w:rsidR="00DC3B4E" w:rsidRPr="00745BF2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  <w:t>3,6 %.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 xml:space="preserve"> Růst HDP za celý rok </w:t>
      </w:r>
      <w:r w:rsidR="00DC3B4E" w:rsidRPr="00745BF2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  <w:t xml:space="preserve">2021 </w:t>
      </w:r>
      <w:r w:rsidR="00DC3B4E" w:rsidRPr="00745BF2">
        <w:rPr>
          <w:rFonts w:ascii="Calibri" w:eastAsia="Times New Roman" w:hAnsi="Calibri" w:cs="Calibri"/>
          <w:color w:val="333333"/>
          <w:bdr w:val="none" w:sz="0" w:space="0" w:color="auto" w:frame="1"/>
          <w:lang w:eastAsia="cs-CZ"/>
        </w:rPr>
        <w:t>činil</w:t>
      </w:r>
      <w:r w:rsidR="00DC3B4E" w:rsidRPr="00745BF2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cs-CZ"/>
        </w:rPr>
        <w:t xml:space="preserve"> 3,3 %.</w:t>
      </w:r>
    </w:p>
    <w:p w14:paraId="06275AA7" w14:textId="2ECD59B6" w:rsidR="00CB0F1A" w:rsidRDefault="00CB0F1A" w:rsidP="00DC3B4E">
      <w:pP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cs-CZ"/>
        </w:rPr>
      </w:pPr>
    </w:p>
    <w:p w14:paraId="2F06787D" w14:textId="40241B5A" w:rsidR="00DC3B4E" w:rsidRPr="009F6793" w:rsidRDefault="00DC3B4E" w:rsidP="00DC3B4E">
      <w:pPr>
        <w:rPr>
          <w:rFonts w:ascii="Times New Roman" w:eastAsia="Times New Roman" w:hAnsi="Times New Roman" w:cs="Times New Roman"/>
          <w:lang w:eastAsia="cs-CZ"/>
        </w:rPr>
      </w:pPr>
    </w:p>
    <w:p w14:paraId="4D9A74C0" w14:textId="43783A32" w:rsidR="009F6793" w:rsidRPr="00CB0F1A" w:rsidRDefault="009F6793" w:rsidP="009F6793">
      <w:pPr>
        <w:rPr>
          <w:rFonts w:ascii="Calibri" w:eastAsia="Times New Roman" w:hAnsi="Calibri" w:cs="Calibri"/>
          <w:b/>
          <w:bCs/>
          <w:lang w:eastAsia="cs-CZ"/>
        </w:rPr>
      </w:pPr>
      <w:r w:rsidRPr="00CB0F1A">
        <w:rPr>
          <w:rFonts w:ascii="Calibri" w:eastAsia="Times New Roman" w:hAnsi="Calibri" w:cs="Calibri"/>
          <w:b/>
          <w:bCs/>
          <w:lang w:eastAsia="cs-CZ"/>
        </w:rPr>
        <w:lastRenderedPageBreak/>
        <w:t>Seznam států světa podle HDP</w:t>
      </w:r>
    </w:p>
    <w:p w14:paraId="24D6557D" w14:textId="20F3181B" w:rsidR="009F6793" w:rsidRDefault="009F6793" w:rsidP="00DC3B4E"/>
    <w:p w14:paraId="05CF5B17" w14:textId="48B88900" w:rsidR="009F6793" w:rsidRDefault="009F6793" w:rsidP="00DC3B4E">
      <w:r>
        <w:rPr>
          <w:noProof/>
        </w:rPr>
        <w:drawing>
          <wp:anchor distT="0" distB="0" distL="114300" distR="114300" simplePos="0" relativeHeight="251659264" behindDoc="0" locked="0" layoutInCell="1" allowOverlap="1" wp14:anchorId="2F062C03" wp14:editId="61E30920">
            <wp:simplePos x="0" y="0"/>
            <wp:positionH relativeFrom="margin">
              <wp:posOffset>0</wp:posOffset>
            </wp:positionH>
            <wp:positionV relativeFrom="margin">
              <wp:posOffset>310718</wp:posOffset>
            </wp:positionV>
            <wp:extent cx="4287520" cy="2425065"/>
            <wp:effectExtent l="0" t="0" r="508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F1A">
        <w:t>Všechna naměřena data jsou z roku 2020 a hodnoty jsou v </w:t>
      </w:r>
      <w:r>
        <w:t>milionech</w:t>
      </w:r>
      <w:r w:rsidR="00CB0F1A">
        <w:t xml:space="preserve"> USD</w:t>
      </w:r>
      <w:r>
        <w:t xml:space="preserve">. </w:t>
      </w:r>
    </w:p>
    <w:p w14:paraId="1E2FA9A9" w14:textId="7EDB49AC" w:rsidR="009F6793" w:rsidRDefault="009F6793" w:rsidP="00DC3B4E">
      <w:r>
        <w:t>Nejvíce HDP má USA, Česká republika se nachází na 48. příčce a nejnižší hrubý domácí produkt má ostrov v Oceánii Tuvalu, který se nachází na 194. místě</w:t>
      </w:r>
    </w:p>
    <w:p w14:paraId="29A85F50" w14:textId="614D4E94" w:rsidR="009F6793" w:rsidRPr="009F6793" w:rsidRDefault="009F6793" w:rsidP="00DC3B4E">
      <w:pPr>
        <w:rPr>
          <w:color w:val="BFBFBF" w:themeColor="background1" w:themeShade="BF"/>
        </w:rPr>
      </w:pPr>
    </w:p>
    <w:p w14:paraId="04F32EB9" w14:textId="6273AA94" w:rsidR="009F6793" w:rsidRDefault="009F6793" w:rsidP="00DC3B4E">
      <w:pPr>
        <w:rPr>
          <w:color w:val="BFBFBF" w:themeColor="background1" w:themeShade="BF"/>
        </w:rPr>
      </w:pPr>
      <w:r w:rsidRPr="009F6793">
        <w:rPr>
          <w:color w:val="BFBFBF" w:themeColor="background1" w:themeShade="BF"/>
        </w:rPr>
        <w:t>Zdroj: https://cs.wikipedia.org/wiki/Seznam_států_světa_podle_HDP</w:t>
      </w:r>
    </w:p>
    <w:p w14:paraId="168073C7" w14:textId="45DED40B" w:rsidR="009F6793" w:rsidRDefault="009F6793" w:rsidP="00DC3B4E">
      <w:pPr>
        <w:rPr>
          <w:color w:val="BFBFBF" w:themeColor="background1" w:themeShade="BF"/>
        </w:rPr>
      </w:pPr>
    </w:p>
    <w:p w14:paraId="4A6F0119" w14:textId="7FAE27B6" w:rsidR="009F6793" w:rsidRDefault="009F6793" w:rsidP="00DC3B4E">
      <w:pPr>
        <w:rPr>
          <w:b/>
          <w:bCs/>
          <w:color w:val="000000" w:themeColor="text1"/>
        </w:rPr>
      </w:pPr>
      <w:r w:rsidRPr="009F6793">
        <w:rPr>
          <w:b/>
          <w:bCs/>
          <w:color w:val="000000" w:themeColor="text1"/>
        </w:rPr>
        <w:t>Seznam států světa podle HDP na obyvatele</w:t>
      </w:r>
    </w:p>
    <w:p w14:paraId="4A97C08B" w14:textId="28249AE9" w:rsidR="009F6793" w:rsidRPr="009F6793" w:rsidRDefault="009F6793" w:rsidP="00DC3B4E">
      <w:pPr>
        <w:rPr>
          <w:b/>
          <w:bCs/>
          <w:color w:val="000000" w:themeColor="text1"/>
        </w:rPr>
      </w:pPr>
    </w:p>
    <w:p w14:paraId="1EE2549E" w14:textId="31C3C791" w:rsidR="009F6793" w:rsidRDefault="009F6793" w:rsidP="00DC3B4E">
      <w:pPr>
        <w:rPr>
          <w:color w:val="BFBFBF" w:themeColor="background1" w:themeShade="BF"/>
        </w:rPr>
      </w:pPr>
    </w:p>
    <w:p w14:paraId="39F23FA0" w14:textId="3ECBCAC3" w:rsidR="0024120E" w:rsidRPr="0024120E" w:rsidRDefault="00304DB7" w:rsidP="0024120E">
      <w:pPr>
        <w:rPr>
          <w:color w:val="000000" w:themeColor="text1"/>
        </w:rPr>
      </w:pPr>
      <w:r w:rsidRPr="0024120E">
        <w:rPr>
          <w:noProof/>
          <w:color w:val="BFBFBF" w:themeColor="background1" w:themeShade="BF"/>
        </w:rPr>
        <w:drawing>
          <wp:anchor distT="0" distB="0" distL="114300" distR="114300" simplePos="0" relativeHeight="251660288" behindDoc="0" locked="0" layoutInCell="1" allowOverlap="1" wp14:anchorId="2DFDF58C" wp14:editId="31351820">
            <wp:simplePos x="0" y="0"/>
            <wp:positionH relativeFrom="margin">
              <wp:posOffset>1438910</wp:posOffset>
            </wp:positionH>
            <wp:positionV relativeFrom="margin">
              <wp:posOffset>3775673</wp:posOffset>
            </wp:positionV>
            <wp:extent cx="4315455" cy="2263806"/>
            <wp:effectExtent l="0" t="0" r="3175" b="0"/>
            <wp:wrapSquare wrapText="bothSides"/>
            <wp:docPr id="11" name="Obrázek 10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E4FCA817-BEF2-7E48-AF3C-B08BFEFE5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E4FCA817-BEF2-7E48-AF3C-B08BFEFE5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55" cy="226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0E" w:rsidRPr="0024120E">
        <w:rPr>
          <w:color w:val="000000" w:themeColor="text1"/>
        </w:rPr>
        <w:t>Seznam států světa podle HDP na obyvatele</w:t>
      </w:r>
    </w:p>
    <w:p w14:paraId="5FEB3876" w14:textId="2B2E6073" w:rsidR="00DC3B4E" w:rsidRPr="00304DB7" w:rsidRDefault="0024120E" w:rsidP="00DC3B4E">
      <w:pPr>
        <w:rPr>
          <w:color w:val="000000" w:themeColor="text1"/>
        </w:rPr>
      </w:pPr>
      <w:r w:rsidRPr="0024120E">
        <w:rPr>
          <w:color w:val="000000" w:themeColor="text1"/>
        </w:rPr>
        <w:t>HDP na obyvatele je celkové HDP vyděleno počtem obyvatel daného státu</w:t>
      </w:r>
      <w:r>
        <w:rPr>
          <w:color w:val="000000" w:themeColor="text1"/>
        </w:rPr>
        <w:t xml:space="preserve">. Na 1. místě se nachází Katar s </w:t>
      </w:r>
      <w:r w:rsidRPr="002E26C8">
        <w:rPr>
          <w:rFonts w:ascii="Calibri" w:hAnsi="Calibri" w:cs="Calibri"/>
          <w:color w:val="000000"/>
        </w:rPr>
        <w:t>2,881 milion</w:t>
      </w:r>
      <w:r>
        <w:rPr>
          <w:rFonts w:ascii="Calibri" w:hAnsi="Calibri" w:cs="Calibri"/>
          <w:color w:val="000000"/>
        </w:rPr>
        <w:t xml:space="preserve">em obyvatel </w:t>
      </w:r>
      <w:r>
        <w:rPr>
          <w:color w:val="000000" w:themeColor="text1"/>
        </w:rPr>
        <w:t xml:space="preserve">a Česká republika je na 39. místě </w:t>
      </w:r>
      <w:r w:rsidR="00304DB7">
        <w:rPr>
          <w:color w:val="000000" w:themeColor="text1"/>
        </w:rPr>
        <w:t xml:space="preserve">s 10,7 miliony obyvatel. </w:t>
      </w:r>
    </w:p>
    <w:p w14:paraId="61BEE6AA" w14:textId="77777777" w:rsidR="00304DB7" w:rsidRPr="00304DB7" w:rsidRDefault="00304DB7" w:rsidP="00304DB7">
      <w:pPr>
        <w:jc w:val="right"/>
        <w:rPr>
          <w:color w:val="BFBFBF" w:themeColor="background1" w:themeShade="BF"/>
        </w:rPr>
      </w:pPr>
      <w:r w:rsidRPr="00304DB7">
        <w:rPr>
          <w:color w:val="BFBFBF" w:themeColor="background1" w:themeShade="BF"/>
        </w:rPr>
        <w:t>https://cs.wikipedia.org/wiki/Seznam_států_světa_podle_HDP_na_obyvatele</w:t>
      </w:r>
    </w:p>
    <w:p w14:paraId="4328D2EE" w14:textId="5CEB4FAD" w:rsidR="00304DB7" w:rsidRDefault="00304DB7" w:rsidP="00DC3B4E"/>
    <w:p w14:paraId="4A5C87B3" w14:textId="4D3A69FD" w:rsidR="00304DB7" w:rsidRDefault="00304DB7" w:rsidP="00DC3B4E">
      <w:pPr>
        <w:rPr>
          <w:b/>
          <w:bCs/>
        </w:rPr>
      </w:pPr>
      <w:proofErr w:type="spellStart"/>
      <w:r w:rsidRPr="00304DB7">
        <w:rPr>
          <w:b/>
          <w:bCs/>
        </w:rPr>
        <w:t>Bic</w:t>
      </w:r>
      <w:proofErr w:type="spellEnd"/>
      <w:r w:rsidRPr="00304DB7">
        <w:rPr>
          <w:b/>
          <w:bCs/>
        </w:rPr>
        <w:t xml:space="preserve"> Mac index</w:t>
      </w:r>
    </w:p>
    <w:p w14:paraId="5500E0BB" w14:textId="77777777" w:rsidR="00304DB7" w:rsidRDefault="00304DB7" w:rsidP="00DC3B4E">
      <w:pPr>
        <w:rPr>
          <w:b/>
          <w:bCs/>
        </w:rPr>
      </w:pPr>
    </w:p>
    <w:p w14:paraId="54457F82" w14:textId="77777777" w:rsidR="00304DB7" w:rsidRPr="00797DAD" w:rsidRDefault="00304DB7" w:rsidP="00304DB7">
      <w:pPr>
        <w:rPr>
          <w:color w:val="000000" w:themeColor="text1"/>
        </w:rPr>
      </w:pPr>
      <w:r w:rsidRPr="00797DAD">
        <w:rPr>
          <w:color w:val="000000" w:themeColor="text1"/>
        </w:rPr>
        <w:t>Co je index Big Mac?</w:t>
      </w:r>
    </w:p>
    <w:p w14:paraId="73FD3775" w14:textId="09398FBF" w:rsidR="00304DB7" w:rsidRDefault="00304DB7" w:rsidP="00304DB7">
      <w:pPr>
        <w:rPr>
          <w:b/>
          <w:bCs/>
        </w:rPr>
      </w:pPr>
      <w:r w:rsidRPr="00797DAD">
        <w:rPr>
          <w:color w:val="000000" w:themeColor="text1"/>
        </w:rPr>
        <w:t xml:space="preserve">Index Big Mac, publikovaný </w:t>
      </w:r>
      <w:proofErr w:type="spellStart"/>
      <w:r w:rsidRPr="00797DAD">
        <w:rPr>
          <w:color w:val="000000" w:themeColor="text1"/>
        </w:rPr>
        <w:t>The</w:t>
      </w:r>
      <w:proofErr w:type="spellEnd"/>
      <w:r w:rsidRPr="00797DAD">
        <w:rPr>
          <w:color w:val="000000" w:themeColor="text1"/>
        </w:rPr>
        <w:t xml:space="preserve"> </w:t>
      </w:r>
      <w:proofErr w:type="spellStart"/>
      <w:r w:rsidRPr="00797DAD">
        <w:rPr>
          <w:color w:val="000000" w:themeColor="text1"/>
        </w:rPr>
        <w:t>Economist</w:t>
      </w:r>
      <w:proofErr w:type="spellEnd"/>
      <w:r w:rsidRPr="00797DAD">
        <w:rPr>
          <w:color w:val="000000" w:themeColor="text1"/>
        </w:rPr>
        <w:t xml:space="preserve">, je </w:t>
      </w:r>
      <w:r>
        <w:rPr>
          <w:color w:val="000000" w:themeColor="text1"/>
        </w:rPr>
        <w:t>to</w:t>
      </w:r>
      <w:r w:rsidRPr="00797DAD">
        <w:rPr>
          <w:color w:val="000000" w:themeColor="text1"/>
        </w:rPr>
        <w:t xml:space="preserve"> měření, zda jsou tržní směnné kurzy měn různých zemí nadhodnocené nebo podhodnocené. Dělá to měřením každé měny proti společnému standardu</w:t>
      </w:r>
    </w:p>
    <w:p w14:paraId="5E9C4C4A" w14:textId="6786FDB5" w:rsidR="00304DB7" w:rsidRDefault="00304DB7" w:rsidP="00304DB7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4FF9973" wp14:editId="09784F4D">
            <wp:extent cx="4597806" cy="2336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9617" cy="23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0068F" w14:textId="4204A6B5" w:rsidR="00304DB7" w:rsidRPr="00304DB7" w:rsidRDefault="0096175E" w:rsidP="00304DB7">
      <w:pPr>
        <w:jc w:val="center"/>
        <w:rPr>
          <w:b/>
          <w:bCs/>
          <w:color w:val="BFBFBF" w:themeColor="background1" w:themeShade="BF"/>
          <w:sz w:val="20"/>
          <w:szCs w:val="20"/>
        </w:rPr>
      </w:pPr>
      <w:hyperlink r:id="rId12" w:history="1">
        <w:r w:rsidR="00304DB7" w:rsidRPr="00304DB7">
          <w:rPr>
            <w:rStyle w:val="Hypertextovodkaz"/>
            <w:b/>
            <w:bCs/>
            <w:color w:val="BFBFBF" w:themeColor="background1" w:themeShade="BF"/>
            <w:sz w:val="20"/>
            <w:szCs w:val="20"/>
          </w:rPr>
          <w:t>Zdroj</w:t>
        </w:r>
      </w:hyperlink>
      <w:hyperlink r:id="rId13" w:history="1">
        <w:r w:rsidR="00304DB7" w:rsidRPr="00304DB7">
          <w:rPr>
            <w:rStyle w:val="Hypertextovodkaz"/>
            <w:b/>
            <w:bCs/>
            <w:color w:val="BFBFBF" w:themeColor="background1" w:themeShade="BF"/>
            <w:sz w:val="20"/>
            <w:szCs w:val="20"/>
          </w:rPr>
          <w:t xml:space="preserve"> ://www.statista.com/statistics/274326/big-mac-index-global-prices-for-a-big-mac</w:t>
        </w:r>
      </w:hyperlink>
    </w:p>
    <w:sectPr w:rsidR="00304DB7" w:rsidRPr="00304DB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9393" w14:textId="77777777" w:rsidR="0096175E" w:rsidRDefault="0096175E" w:rsidP="001A05FB">
      <w:r>
        <w:separator/>
      </w:r>
    </w:p>
  </w:endnote>
  <w:endnote w:type="continuationSeparator" w:id="0">
    <w:p w14:paraId="44153BCE" w14:textId="77777777" w:rsidR="0096175E" w:rsidRDefault="0096175E" w:rsidP="001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BA52" w14:textId="2C413C5B" w:rsidR="001A05FB" w:rsidRDefault="001A05FB">
    <w:pPr>
      <w:pStyle w:val="Zpat"/>
    </w:pPr>
    <w:r>
      <w:t>Marie Doláková</w:t>
    </w:r>
    <w:r>
      <w:br/>
      <w:t xml:space="preserve">Bankovnictví, peněžnictví, pojišťovnictví </w:t>
    </w:r>
  </w:p>
  <w:p w14:paraId="56CF446B" w14:textId="7B3EB926" w:rsidR="001A05FB" w:rsidRDefault="001A05FB">
    <w:pPr>
      <w:pStyle w:val="Zpat"/>
    </w:pPr>
    <w:r>
      <w:t xml:space="preserve">2. ročník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C885" w14:textId="77777777" w:rsidR="0096175E" w:rsidRDefault="0096175E" w:rsidP="001A05FB">
      <w:r>
        <w:separator/>
      </w:r>
    </w:p>
  </w:footnote>
  <w:footnote w:type="continuationSeparator" w:id="0">
    <w:p w14:paraId="70C2BA32" w14:textId="77777777" w:rsidR="0096175E" w:rsidRDefault="0096175E" w:rsidP="001A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A251" w14:textId="159647AE" w:rsidR="001A05FB" w:rsidRPr="001A05FB" w:rsidRDefault="001A05FB" w:rsidP="001A05FB">
    <w:pPr>
      <w:pStyle w:val="Zhlav"/>
      <w:jc w:val="right"/>
      <w:rPr>
        <w:i/>
        <w:iCs/>
      </w:rPr>
    </w:pPr>
    <w:r w:rsidRPr="001A05FB">
      <w:rPr>
        <w:i/>
        <w:iCs/>
      </w:rPr>
      <w:t>HOSPODÁŘSKÁ POLITIKA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32D"/>
    <w:multiLevelType w:val="hybridMultilevel"/>
    <w:tmpl w:val="95F09F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6B81"/>
    <w:multiLevelType w:val="hybridMultilevel"/>
    <w:tmpl w:val="11D0B12C"/>
    <w:lvl w:ilvl="0" w:tplc="0405000F">
      <w:start w:val="1"/>
      <w:numFmt w:val="decimal"/>
      <w:lvlText w:val="%1.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5D56053C"/>
    <w:multiLevelType w:val="hybridMultilevel"/>
    <w:tmpl w:val="F2567B76"/>
    <w:lvl w:ilvl="0" w:tplc="0405000F">
      <w:start w:val="1"/>
      <w:numFmt w:val="decimal"/>
      <w:lvlText w:val="%1.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FB"/>
    <w:rsid w:val="00173616"/>
    <w:rsid w:val="001A05FB"/>
    <w:rsid w:val="0024120E"/>
    <w:rsid w:val="00304DB7"/>
    <w:rsid w:val="0096175E"/>
    <w:rsid w:val="009D1805"/>
    <w:rsid w:val="009F6793"/>
    <w:rsid w:val="00CB0F1A"/>
    <w:rsid w:val="00D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EC0C"/>
  <w15:chartTrackingRefBased/>
  <w15:docId w15:val="{99447F8B-CE81-2A4E-BC7D-7A3322E3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0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0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5FB"/>
  </w:style>
  <w:style w:type="paragraph" w:styleId="Zpat">
    <w:name w:val="footer"/>
    <w:basedOn w:val="Normln"/>
    <w:link w:val="ZpatChar"/>
    <w:uiPriority w:val="99"/>
    <w:unhideWhenUsed/>
    <w:rsid w:val="001A0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5FB"/>
  </w:style>
  <w:style w:type="character" w:customStyle="1" w:styleId="Nadpis1Char">
    <w:name w:val="Nadpis 1 Char"/>
    <w:basedOn w:val="Standardnpsmoodstavce"/>
    <w:link w:val="Nadpis1"/>
    <w:uiPriority w:val="9"/>
    <w:rsid w:val="001A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A05F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0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67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statista.com/statistics/274326/big-mac-index-global-prices-for-a-big-ma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tista.com/statistics/274326/big-mac-index-global-prices-for-a-big-ma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Doláková</dc:creator>
  <cp:keywords/>
  <dc:description/>
  <cp:lastModifiedBy>Eva Kotlánová</cp:lastModifiedBy>
  <cp:revision>2</cp:revision>
  <dcterms:created xsi:type="dcterms:W3CDTF">2022-04-05T09:12:00Z</dcterms:created>
  <dcterms:modified xsi:type="dcterms:W3CDTF">2022-04-05T09:12:00Z</dcterms:modified>
</cp:coreProperties>
</file>