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6"/>
        <w:gridCol w:w="567"/>
        <w:gridCol w:w="491"/>
        <w:gridCol w:w="1418"/>
        <w:gridCol w:w="930"/>
        <w:gridCol w:w="2156"/>
        <w:gridCol w:w="539"/>
        <w:gridCol w:w="668"/>
      </w:tblGrid>
      <w:tr w:rsidR="006B458D" w:rsidRPr="006B458D" w14:paraId="48A99713" w14:textId="77777777" w:rsidTr="2A1F2609">
        <w:tc>
          <w:tcPr>
            <w:tcW w:w="9855" w:type="dxa"/>
            <w:gridSpan w:val="8"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7E22FB87" w14:textId="77777777" w:rsidR="003125CA" w:rsidRPr="006B458D" w:rsidRDefault="003125CA" w:rsidP="008D680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B458D">
              <w:rPr>
                <w:color w:val="000000" w:themeColor="text1"/>
              </w:rPr>
              <w:br w:type="page"/>
            </w:r>
            <w:r w:rsidRPr="006B458D">
              <w:rPr>
                <w:b/>
                <w:color w:val="000000" w:themeColor="text1"/>
                <w:sz w:val="28"/>
                <w:szCs w:val="28"/>
              </w:rPr>
              <w:t>B-III – Charakteristika studijního předmětu</w:t>
            </w:r>
          </w:p>
        </w:tc>
      </w:tr>
      <w:tr w:rsidR="006B458D" w:rsidRPr="006B458D" w14:paraId="606C6BEF" w14:textId="77777777" w:rsidTr="2A1F2609">
        <w:tc>
          <w:tcPr>
            <w:tcW w:w="3086" w:type="dxa"/>
            <w:tcBorders>
              <w:top w:val="double" w:sz="4" w:space="0" w:color="auto"/>
            </w:tcBorders>
            <w:shd w:val="clear" w:color="auto" w:fill="F7CAAC" w:themeFill="accent2" w:themeFillTint="66"/>
          </w:tcPr>
          <w:p w14:paraId="606845B6" w14:textId="77777777" w:rsidR="003125CA" w:rsidRPr="006B458D" w:rsidRDefault="003125CA" w:rsidP="008D6804">
            <w:pPr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Název studijního předmětu</w:t>
            </w:r>
          </w:p>
        </w:tc>
        <w:tc>
          <w:tcPr>
            <w:tcW w:w="6769" w:type="dxa"/>
            <w:gridSpan w:val="7"/>
            <w:tcBorders>
              <w:top w:val="double" w:sz="4" w:space="0" w:color="auto"/>
            </w:tcBorders>
          </w:tcPr>
          <w:p w14:paraId="6C826840" w14:textId="77777777" w:rsidR="003125CA" w:rsidRPr="006B458D" w:rsidRDefault="00142506" w:rsidP="005D4AC7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 xml:space="preserve">Informační </w:t>
            </w:r>
            <w:r w:rsidR="005D4AC7" w:rsidRPr="006B458D">
              <w:rPr>
                <w:color w:val="000000" w:themeColor="text1"/>
              </w:rPr>
              <w:t>a internetové technologie</w:t>
            </w:r>
          </w:p>
        </w:tc>
      </w:tr>
      <w:tr w:rsidR="006B458D" w:rsidRPr="006B458D" w14:paraId="17811E0F" w14:textId="77777777" w:rsidTr="2A1F2609">
        <w:tc>
          <w:tcPr>
            <w:tcW w:w="3086" w:type="dxa"/>
            <w:shd w:val="clear" w:color="auto" w:fill="F7CAAC" w:themeFill="accent2" w:themeFillTint="66"/>
          </w:tcPr>
          <w:p w14:paraId="09BE5A8D" w14:textId="77777777" w:rsidR="003125CA" w:rsidRPr="006B458D" w:rsidRDefault="003125CA" w:rsidP="008D6804">
            <w:pPr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Typ předmětu</w:t>
            </w:r>
          </w:p>
        </w:tc>
        <w:tc>
          <w:tcPr>
            <w:tcW w:w="3406" w:type="dxa"/>
            <w:gridSpan w:val="4"/>
          </w:tcPr>
          <w:p w14:paraId="04EDFA38" w14:textId="6F8A54CA" w:rsidR="003125CA" w:rsidRPr="006B458D" w:rsidRDefault="003125CA" w:rsidP="008D68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5" w:type="dxa"/>
            <w:gridSpan w:val="2"/>
            <w:shd w:val="clear" w:color="auto" w:fill="F7CAAC" w:themeFill="accent2" w:themeFillTint="66"/>
          </w:tcPr>
          <w:p w14:paraId="7F5C1BA3" w14:textId="77777777" w:rsidR="003125CA" w:rsidRPr="006B458D" w:rsidRDefault="003125CA" w:rsidP="008D6804">
            <w:pPr>
              <w:jc w:val="both"/>
              <w:rPr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doporučený ročník / semestr</w:t>
            </w:r>
          </w:p>
        </w:tc>
        <w:tc>
          <w:tcPr>
            <w:tcW w:w="668" w:type="dxa"/>
          </w:tcPr>
          <w:p w14:paraId="79386D8E" w14:textId="77777777" w:rsidR="003125CA" w:rsidRPr="006B458D" w:rsidRDefault="00892E51" w:rsidP="00892E51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1</w:t>
            </w:r>
            <w:r w:rsidR="003125CA" w:rsidRPr="006B458D">
              <w:rPr>
                <w:color w:val="000000" w:themeColor="text1"/>
              </w:rPr>
              <w:t>/</w:t>
            </w:r>
            <w:r w:rsidRPr="006B458D">
              <w:rPr>
                <w:color w:val="000000" w:themeColor="text1"/>
              </w:rPr>
              <w:t>2</w:t>
            </w:r>
          </w:p>
        </w:tc>
      </w:tr>
      <w:tr w:rsidR="006B458D" w:rsidRPr="006B458D" w14:paraId="7DCACC1E" w14:textId="77777777" w:rsidTr="2A1F2609">
        <w:tc>
          <w:tcPr>
            <w:tcW w:w="3086" w:type="dxa"/>
            <w:shd w:val="clear" w:color="auto" w:fill="F7CAAC" w:themeFill="accent2" w:themeFillTint="66"/>
          </w:tcPr>
          <w:p w14:paraId="3A6533F2" w14:textId="77777777" w:rsidR="003125CA" w:rsidRPr="006B458D" w:rsidRDefault="003125CA" w:rsidP="008D6804">
            <w:pPr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Rozsah studijního předmětu</w:t>
            </w:r>
          </w:p>
        </w:tc>
        <w:tc>
          <w:tcPr>
            <w:tcW w:w="1058" w:type="dxa"/>
            <w:gridSpan w:val="2"/>
          </w:tcPr>
          <w:p w14:paraId="4CC9F782" w14:textId="77777777" w:rsidR="003125CA" w:rsidRPr="006B458D" w:rsidRDefault="005D4AC7" w:rsidP="005D4AC7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13</w:t>
            </w:r>
            <w:r w:rsidR="003125CA" w:rsidRPr="006B458D">
              <w:rPr>
                <w:color w:val="000000" w:themeColor="text1"/>
              </w:rPr>
              <w:t xml:space="preserve">p + </w:t>
            </w:r>
            <w:r w:rsidRPr="006B458D">
              <w:rPr>
                <w:color w:val="000000" w:themeColor="text1"/>
              </w:rPr>
              <w:t>26</w:t>
            </w:r>
            <w:r w:rsidR="003125CA" w:rsidRPr="006B458D">
              <w:rPr>
                <w:color w:val="000000" w:themeColor="text1"/>
              </w:rPr>
              <w:t>s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3CEA593F" w14:textId="77777777" w:rsidR="003125CA" w:rsidRPr="006B458D" w:rsidRDefault="003125CA" w:rsidP="008D6804">
            <w:pPr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 xml:space="preserve">hod./týden </w:t>
            </w:r>
          </w:p>
        </w:tc>
        <w:tc>
          <w:tcPr>
            <w:tcW w:w="930" w:type="dxa"/>
          </w:tcPr>
          <w:p w14:paraId="672A6659" w14:textId="77777777" w:rsidR="003125CA" w:rsidRPr="006B458D" w:rsidRDefault="003125CA" w:rsidP="008D68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56" w:type="dxa"/>
            <w:shd w:val="clear" w:color="auto" w:fill="F7CAAC" w:themeFill="accent2" w:themeFillTint="66"/>
          </w:tcPr>
          <w:p w14:paraId="5BC231EC" w14:textId="77777777" w:rsidR="003125CA" w:rsidRPr="006B458D" w:rsidRDefault="003125CA" w:rsidP="008D6804">
            <w:pPr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kreditů</w:t>
            </w:r>
          </w:p>
        </w:tc>
        <w:tc>
          <w:tcPr>
            <w:tcW w:w="1207" w:type="dxa"/>
            <w:gridSpan w:val="2"/>
          </w:tcPr>
          <w:p w14:paraId="1D779C54" w14:textId="77777777" w:rsidR="003125CA" w:rsidRPr="006B458D" w:rsidRDefault="00892E51" w:rsidP="008D6804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5</w:t>
            </w:r>
            <w:r w:rsidR="003125CA" w:rsidRPr="006B458D">
              <w:rPr>
                <w:color w:val="000000" w:themeColor="text1"/>
              </w:rPr>
              <w:t xml:space="preserve"> ECTS</w:t>
            </w:r>
          </w:p>
        </w:tc>
      </w:tr>
      <w:tr w:rsidR="006B458D" w:rsidRPr="006B458D" w14:paraId="1178EC96" w14:textId="77777777" w:rsidTr="2A1F2609">
        <w:tc>
          <w:tcPr>
            <w:tcW w:w="3086" w:type="dxa"/>
            <w:shd w:val="clear" w:color="auto" w:fill="F7CAAC" w:themeFill="accent2" w:themeFillTint="66"/>
          </w:tcPr>
          <w:p w14:paraId="5CCCCFEC" w14:textId="77777777" w:rsidR="003125CA" w:rsidRPr="006B458D" w:rsidRDefault="003125CA" w:rsidP="008D6804">
            <w:pPr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Prerekvizity, korekvizity, ekvivalence</w:t>
            </w:r>
          </w:p>
        </w:tc>
        <w:tc>
          <w:tcPr>
            <w:tcW w:w="6769" w:type="dxa"/>
            <w:gridSpan w:val="7"/>
          </w:tcPr>
          <w:p w14:paraId="0A37501D" w14:textId="77777777" w:rsidR="003125CA" w:rsidRPr="006B458D" w:rsidRDefault="003125CA" w:rsidP="008D6804">
            <w:pPr>
              <w:jc w:val="both"/>
              <w:rPr>
                <w:color w:val="000000" w:themeColor="text1"/>
              </w:rPr>
            </w:pPr>
          </w:p>
        </w:tc>
      </w:tr>
      <w:tr w:rsidR="006B458D" w:rsidRPr="006B458D" w14:paraId="3501C7FC" w14:textId="77777777" w:rsidTr="2A1F2609">
        <w:tc>
          <w:tcPr>
            <w:tcW w:w="3086" w:type="dxa"/>
            <w:shd w:val="clear" w:color="auto" w:fill="F7CAAC" w:themeFill="accent2" w:themeFillTint="66"/>
          </w:tcPr>
          <w:p w14:paraId="765773AB" w14:textId="77777777" w:rsidR="003125CA" w:rsidRPr="006B458D" w:rsidRDefault="003125CA" w:rsidP="008D6804">
            <w:pPr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Způsob ověření studijních výsledků</w:t>
            </w:r>
          </w:p>
        </w:tc>
        <w:tc>
          <w:tcPr>
            <w:tcW w:w="3406" w:type="dxa"/>
            <w:gridSpan w:val="4"/>
          </w:tcPr>
          <w:p w14:paraId="47C15856" w14:textId="77777777" w:rsidR="003125CA" w:rsidRPr="006B458D" w:rsidRDefault="003125CA" w:rsidP="008D6804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zkouška</w:t>
            </w:r>
          </w:p>
        </w:tc>
        <w:tc>
          <w:tcPr>
            <w:tcW w:w="2156" w:type="dxa"/>
            <w:shd w:val="clear" w:color="auto" w:fill="F7CAAC" w:themeFill="accent2" w:themeFillTint="66"/>
          </w:tcPr>
          <w:p w14:paraId="26B8FAB0" w14:textId="77777777" w:rsidR="003125CA" w:rsidRPr="006B458D" w:rsidRDefault="003125CA" w:rsidP="008D6804">
            <w:pPr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Forma výuky</w:t>
            </w:r>
          </w:p>
        </w:tc>
        <w:tc>
          <w:tcPr>
            <w:tcW w:w="1207" w:type="dxa"/>
            <w:gridSpan w:val="2"/>
          </w:tcPr>
          <w:p w14:paraId="0D978EA7" w14:textId="0F6C38DD" w:rsidR="00B601A2" w:rsidRDefault="003125CA" w:rsidP="008D6804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Přednáška</w:t>
            </w:r>
            <w:r w:rsidR="003E4432">
              <w:rPr>
                <w:color w:val="000000" w:themeColor="text1"/>
              </w:rPr>
              <w:t xml:space="preserve"> </w:t>
            </w:r>
          </w:p>
          <w:p w14:paraId="32D567A2" w14:textId="7F9B8DB0" w:rsidR="003125CA" w:rsidRPr="006B458D" w:rsidRDefault="003125CA" w:rsidP="008D6804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/seminář</w:t>
            </w:r>
          </w:p>
        </w:tc>
      </w:tr>
      <w:tr w:rsidR="006B458D" w:rsidRPr="006B458D" w14:paraId="7A722240" w14:textId="77777777" w:rsidTr="2A1F2609">
        <w:tc>
          <w:tcPr>
            <w:tcW w:w="3086" w:type="dxa"/>
            <w:shd w:val="clear" w:color="auto" w:fill="F7CAAC" w:themeFill="accent2" w:themeFillTint="66"/>
          </w:tcPr>
          <w:p w14:paraId="339F9C1E" w14:textId="77777777" w:rsidR="003125CA" w:rsidRPr="006B458D" w:rsidRDefault="003125CA" w:rsidP="008D6804">
            <w:pPr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Forma způsobu ověření studijních výsledků a další požadavky na studenta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6AB93DC6" w14:textId="7B94E3E4" w:rsidR="00647A8D" w:rsidRPr="006B458D" w:rsidRDefault="003125CA" w:rsidP="00647A8D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 xml:space="preserve">Požadavky na studenta: </w:t>
            </w:r>
            <w:r w:rsidR="00A94453">
              <w:rPr>
                <w:color w:val="000000" w:themeColor="text1"/>
              </w:rPr>
              <w:t>samostatná semestrální práce (individuální s</w:t>
            </w:r>
            <w:r w:rsidR="00FC3932" w:rsidRPr="006B458D">
              <w:rPr>
                <w:color w:val="000000" w:themeColor="text1"/>
              </w:rPr>
              <w:t>emestrální projekt</w:t>
            </w:r>
            <w:r w:rsidR="00A94453">
              <w:rPr>
                <w:color w:val="000000" w:themeColor="text1"/>
              </w:rPr>
              <w:t>)</w:t>
            </w:r>
            <w:r w:rsidR="00963826" w:rsidRPr="006B458D">
              <w:rPr>
                <w:color w:val="000000" w:themeColor="text1"/>
              </w:rPr>
              <w:t xml:space="preserve">, minimálně 70% </w:t>
            </w:r>
            <w:r w:rsidR="00A94453">
              <w:rPr>
                <w:color w:val="000000" w:themeColor="text1"/>
              </w:rPr>
              <w:t xml:space="preserve">aktivní </w:t>
            </w:r>
            <w:r w:rsidR="00963826" w:rsidRPr="006B458D">
              <w:rPr>
                <w:color w:val="000000" w:themeColor="text1"/>
              </w:rPr>
              <w:t>účast na seminářích, vyhledávání a zpracování zdrojů na Internetu.</w:t>
            </w:r>
          </w:p>
          <w:p w14:paraId="165EFE1B" w14:textId="10F71538" w:rsidR="003125CA" w:rsidRPr="006B458D" w:rsidRDefault="00647A8D" w:rsidP="00647A8D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 xml:space="preserve">Hodnotící metody: </w:t>
            </w:r>
            <w:r w:rsidR="00A94453">
              <w:rPr>
                <w:color w:val="000000" w:themeColor="text1"/>
              </w:rPr>
              <w:t xml:space="preserve">samostatná semestrální práce </w:t>
            </w:r>
            <w:r w:rsidRPr="006B458D">
              <w:rPr>
                <w:color w:val="000000" w:themeColor="text1"/>
              </w:rPr>
              <w:t>(</w:t>
            </w:r>
            <w:r w:rsidR="00A94453">
              <w:rPr>
                <w:color w:val="000000" w:themeColor="text1"/>
              </w:rPr>
              <w:t>5</w:t>
            </w:r>
            <w:r w:rsidR="00FC3932" w:rsidRPr="006B458D">
              <w:rPr>
                <w:color w:val="000000" w:themeColor="text1"/>
              </w:rPr>
              <w:t>0</w:t>
            </w:r>
            <w:r w:rsidRPr="006B458D">
              <w:rPr>
                <w:color w:val="000000" w:themeColor="text1"/>
              </w:rPr>
              <w:t>% hodnocení</w:t>
            </w:r>
            <w:r w:rsidR="001C4F48" w:rsidRPr="006B458D">
              <w:rPr>
                <w:color w:val="000000" w:themeColor="text1"/>
              </w:rPr>
              <w:t xml:space="preserve"> – individuální projekt podle metodiky RUP</w:t>
            </w:r>
            <w:r w:rsidRPr="006B458D">
              <w:rPr>
                <w:color w:val="000000" w:themeColor="text1"/>
              </w:rPr>
              <w:t xml:space="preserve">), písemná zkouška </w:t>
            </w:r>
            <w:r w:rsidR="00A94453">
              <w:rPr>
                <w:color w:val="000000" w:themeColor="text1"/>
              </w:rPr>
              <w:t xml:space="preserve">formou testu </w:t>
            </w:r>
            <w:r w:rsidRPr="006B458D">
              <w:rPr>
                <w:color w:val="000000" w:themeColor="text1"/>
              </w:rPr>
              <w:t>(</w:t>
            </w:r>
            <w:r w:rsidR="00D94C52" w:rsidRPr="006B458D">
              <w:rPr>
                <w:color w:val="000000" w:themeColor="text1"/>
              </w:rPr>
              <w:t>50</w:t>
            </w:r>
            <w:r w:rsidRPr="006B458D">
              <w:rPr>
                <w:color w:val="000000" w:themeColor="text1"/>
              </w:rPr>
              <w:t>% hodnocení).</w:t>
            </w:r>
            <w:r w:rsidR="003125CA" w:rsidRPr="006B458D">
              <w:rPr>
                <w:color w:val="000000" w:themeColor="text1"/>
              </w:rPr>
              <w:t xml:space="preserve"> Pro úspěšné absolvování předmětu musí student získat minimálně </w:t>
            </w:r>
            <w:r w:rsidR="00B26B95" w:rsidRPr="006B458D">
              <w:rPr>
                <w:color w:val="000000" w:themeColor="text1"/>
              </w:rPr>
              <w:t>6</w:t>
            </w:r>
            <w:r w:rsidR="003125CA" w:rsidRPr="006B458D">
              <w:rPr>
                <w:color w:val="000000" w:themeColor="text1"/>
              </w:rPr>
              <w:t>0</w:t>
            </w:r>
            <w:r w:rsidR="0027514D" w:rsidRPr="006B458D">
              <w:rPr>
                <w:color w:val="000000" w:themeColor="text1"/>
              </w:rPr>
              <w:t>%</w:t>
            </w:r>
            <w:r w:rsidR="003125CA" w:rsidRPr="006B458D">
              <w:rPr>
                <w:color w:val="000000" w:themeColor="text1"/>
              </w:rPr>
              <w:t xml:space="preserve"> bodů celkem.</w:t>
            </w:r>
          </w:p>
        </w:tc>
      </w:tr>
      <w:tr w:rsidR="006B458D" w:rsidRPr="006B458D" w14:paraId="5DAB6C7B" w14:textId="77777777" w:rsidTr="2A1F2609">
        <w:trPr>
          <w:trHeight w:val="554"/>
        </w:trPr>
        <w:tc>
          <w:tcPr>
            <w:tcW w:w="9855" w:type="dxa"/>
            <w:gridSpan w:val="8"/>
            <w:tcBorders>
              <w:top w:val="nil"/>
            </w:tcBorders>
          </w:tcPr>
          <w:p w14:paraId="02EB378F" w14:textId="77777777" w:rsidR="003125CA" w:rsidRPr="006B458D" w:rsidRDefault="003125CA" w:rsidP="008D6804">
            <w:pPr>
              <w:jc w:val="both"/>
              <w:rPr>
                <w:color w:val="000000" w:themeColor="text1"/>
              </w:rPr>
            </w:pPr>
          </w:p>
        </w:tc>
      </w:tr>
      <w:tr w:rsidR="006B458D" w:rsidRPr="006B458D" w14:paraId="5441BD1C" w14:textId="77777777" w:rsidTr="2A1F2609">
        <w:trPr>
          <w:trHeight w:val="197"/>
        </w:trPr>
        <w:tc>
          <w:tcPr>
            <w:tcW w:w="3086" w:type="dxa"/>
            <w:tcBorders>
              <w:top w:val="nil"/>
            </w:tcBorders>
            <w:shd w:val="clear" w:color="auto" w:fill="F7CAAC" w:themeFill="accent2" w:themeFillTint="66"/>
          </w:tcPr>
          <w:p w14:paraId="7F087E4E" w14:textId="77777777" w:rsidR="003125CA" w:rsidRPr="006B458D" w:rsidRDefault="003125CA" w:rsidP="008D6804">
            <w:pPr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Garant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14:paraId="1ACB9531" w14:textId="77777777" w:rsidR="003125CA" w:rsidRPr="006B458D" w:rsidRDefault="007B49F2" w:rsidP="00EE7E9E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 xml:space="preserve">doc. </w:t>
            </w:r>
            <w:r w:rsidR="00EE7E9E" w:rsidRPr="006B458D">
              <w:rPr>
                <w:color w:val="000000" w:themeColor="text1"/>
              </w:rPr>
              <w:t>Mgr.</w:t>
            </w:r>
            <w:r w:rsidRPr="006B458D">
              <w:rPr>
                <w:color w:val="000000" w:themeColor="text1"/>
              </w:rPr>
              <w:t xml:space="preserve"> </w:t>
            </w:r>
            <w:r w:rsidR="00EE7E9E" w:rsidRPr="006B458D">
              <w:rPr>
                <w:color w:val="000000" w:themeColor="text1"/>
              </w:rPr>
              <w:t>Petr Suchánek,</w:t>
            </w:r>
            <w:r w:rsidRPr="006B458D">
              <w:rPr>
                <w:color w:val="000000" w:themeColor="text1"/>
              </w:rPr>
              <w:t xml:space="preserve"> Ph.D.</w:t>
            </w:r>
          </w:p>
        </w:tc>
      </w:tr>
      <w:tr w:rsidR="006B458D" w:rsidRPr="006B458D" w14:paraId="7FE4A96F" w14:textId="77777777" w:rsidTr="2A1F2609">
        <w:trPr>
          <w:trHeight w:val="243"/>
        </w:trPr>
        <w:tc>
          <w:tcPr>
            <w:tcW w:w="3086" w:type="dxa"/>
            <w:tcBorders>
              <w:top w:val="nil"/>
            </w:tcBorders>
            <w:shd w:val="clear" w:color="auto" w:fill="F7CAAC" w:themeFill="accent2" w:themeFillTint="66"/>
          </w:tcPr>
          <w:p w14:paraId="61E7BAD6" w14:textId="77777777" w:rsidR="003125CA" w:rsidRPr="006B458D" w:rsidRDefault="003125CA" w:rsidP="008D6804">
            <w:pPr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Zapojení garanta do výuky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14:paraId="7D6D0A19" w14:textId="1B2DD32D" w:rsidR="003125CA" w:rsidRPr="006B458D" w:rsidRDefault="006D746C" w:rsidP="00BD148A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P</w:t>
            </w:r>
            <w:r w:rsidR="00061168" w:rsidRPr="006B458D">
              <w:rPr>
                <w:color w:val="000000" w:themeColor="text1"/>
              </w:rPr>
              <w:t>řednášky</w:t>
            </w:r>
            <w:r w:rsidR="009C2220">
              <w:rPr>
                <w:color w:val="000000" w:themeColor="text1"/>
              </w:rPr>
              <w:t xml:space="preserve"> a</w:t>
            </w:r>
            <w:r w:rsidR="277B096E" w:rsidRPr="006B458D">
              <w:rPr>
                <w:color w:val="000000" w:themeColor="text1"/>
              </w:rPr>
              <w:t xml:space="preserve"> semináře</w:t>
            </w:r>
          </w:p>
        </w:tc>
      </w:tr>
      <w:tr w:rsidR="006B458D" w:rsidRPr="006B458D" w14:paraId="2408013B" w14:textId="77777777" w:rsidTr="2A1F2609">
        <w:tc>
          <w:tcPr>
            <w:tcW w:w="3086" w:type="dxa"/>
            <w:shd w:val="clear" w:color="auto" w:fill="F7CAAC" w:themeFill="accent2" w:themeFillTint="66"/>
          </w:tcPr>
          <w:p w14:paraId="4DEEF132" w14:textId="77777777" w:rsidR="003125CA" w:rsidRPr="006B458D" w:rsidRDefault="003125CA" w:rsidP="008D6804">
            <w:pPr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Vyučující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7DFED94D" w14:textId="5DE27D84" w:rsidR="00BD148A" w:rsidRPr="006B458D" w:rsidRDefault="00F5679D" w:rsidP="2A7EA258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doc. Mgr. Petr Suchánek, Ph.D.</w:t>
            </w:r>
            <w:r w:rsidR="00A94453">
              <w:rPr>
                <w:color w:val="000000" w:themeColor="text1"/>
              </w:rPr>
              <w:t>, Ing. Josef Botlík</w:t>
            </w:r>
          </w:p>
        </w:tc>
      </w:tr>
      <w:tr w:rsidR="006B458D" w:rsidRPr="006B458D" w14:paraId="6A05A809" w14:textId="77777777" w:rsidTr="2A1F2609">
        <w:trPr>
          <w:trHeight w:val="554"/>
        </w:trPr>
        <w:tc>
          <w:tcPr>
            <w:tcW w:w="9855" w:type="dxa"/>
            <w:gridSpan w:val="8"/>
            <w:tcBorders>
              <w:top w:val="nil"/>
            </w:tcBorders>
          </w:tcPr>
          <w:p w14:paraId="5A39BBE3" w14:textId="77777777" w:rsidR="003125CA" w:rsidRPr="006B458D" w:rsidRDefault="003125CA" w:rsidP="008D6804">
            <w:pPr>
              <w:jc w:val="both"/>
              <w:rPr>
                <w:color w:val="000000" w:themeColor="text1"/>
              </w:rPr>
            </w:pPr>
          </w:p>
        </w:tc>
      </w:tr>
      <w:tr w:rsidR="006B458D" w:rsidRPr="006B458D" w14:paraId="5F8978EE" w14:textId="77777777" w:rsidTr="2A1F2609">
        <w:tc>
          <w:tcPr>
            <w:tcW w:w="3086" w:type="dxa"/>
            <w:tcBorders>
              <w:bottom w:val="nil"/>
            </w:tcBorders>
            <w:shd w:val="clear" w:color="auto" w:fill="F7CAAC" w:themeFill="accent2" w:themeFillTint="66"/>
          </w:tcPr>
          <w:p w14:paraId="05A1AAE9" w14:textId="77777777" w:rsidR="003125CA" w:rsidRPr="006B458D" w:rsidRDefault="003125CA" w:rsidP="008D6804">
            <w:pPr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Stručná anotace předmětu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41C8F396" w14:textId="77777777" w:rsidR="003125CA" w:rsidRPr="006B458D" w:rsidRDefault="003125CA" w:rsidP="008D6804">
            <w:pPr>
              <w:jc w:val="both"/>
              <w:rPr>
                <w:color w:val="000000" w:themeColor="text1"/>
              </w:rPr>
            </w:pPr>
          </w:p>
        </w:tc>
      </w:tr>
      <w:tr w:rsidR="006B458D" w:rsidRPr="006B458D" w14:paraId="23DDD999" w14:textId="77777777" w:rsidTr="2A1F2609">
        <w:trPr>
          <w:trHeight w:val="1134"/>
        </w:trPr>
        <w:tc>
          <w:tcPr>
            <w:tcW w:w="9855" w:type="dxa"/>
            <w:gridSpan w:val="8"/>
            <w:tcBorders>
              <w:top w:val="nil"/>
              <w:bottom w:val="single" w:sz="4" w:space="0" w:color="auto"/>
            </w:tcBorders>
          </w:tcPr>
          <w:p w14:paraId="57448046" w14:textId="77777777" w:rsidR="008E714F" w:rsidRPr="006B458D" w:rsidRDefault="008E714F" w:rsidP="003125CA">
            <w:pPr>
              <w:pStyle w:val="Odstavecseseznamem"/>
              <w:numPr>
                <w:ilvl w:val="0"/>
                <w:numId w:val="1"/>
              </w:numPr>
              <w:tabs>
                <w:tab w:val="num" w:pos="357"/>
              </w:tabs>
              <w:ind w:left="357" w:hanging="357"/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 xml:space="preserve">Architektura počítačů. </w:t>
            </w:r>
          </w:p>
          <w:p w14:paraId="334B541D" w14:textId="77777777" w:rsidR="00963826" w:rsidRPr="006B458D" w:rsidRDefault="008E714F" w:rsidP="0052452B">
            <w:pPr>
              <w:tabs>
                <w:tab w:val="num" w:pos="357"/>
              </w:tabs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Současné rozdělení počítačového trhu. CISC a RISC architektura, Von Neumannovo schéma, Harvardská architektura</w:t>
            </w:r>
            <w:r w:rsidR="00C63AAC" w:rsidRPr="006B458D">
              <w:rPr>
                <w:color w:val="000000" w:themeColor="text1"/>
              </w:rPr>
              <w:t>. Modularita, klasifikace počítačů, vývojové tendence a trendy, kvantové počítače, superpočítače</w:t>
            </w:r>
            <w:r w:rsidR="00327C3A" w:rsidRPr="006B458D">
              <w:rPr>
                <w:color w:val="000000" w:themeColor="text1"/>
              </w:rPr>
              <w:t>.</w:t>
            </w:r>
          </w:p>
          <w:p w14:paraId="47976295" w14:textId="77777777" w:rsidR="008306FC" w:rsidRPr="006B458D" w:rsidRDefault="008E714F" w:rsidP="00963826">
            <w:pPr>
              <w:pStyle w:val="Odstavecseseznamem"/>
              <w:numPr>
                <w:ilvl w:val="0"/>
                <w:numId w:val="1"/>
              </w:numPr>
              <w:tabs>
                <w:tab w:val="num" w:pos="357"/>
              </w:tabs>
              <w:ind w:left="357" w:hanging="357"/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Mobilní informační technologie</w:t>
            </w:r>
          </w:p>
          <w:p w14:paraId="56EF4A6A" w14:textId="77777777" w:rsidR="008E714F" w:rsidRPr="006B458D" w:rsidRDefault="008E714F" w:rsidP="0052452B">
            <w:pPr>
              <w:tabs>
                <w:tab w:val="num" w:pos="357"/>
              </w:tabs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 xml:space="preserve">Úvod do mobilních zařízení, tablety, PDA, Mobilní telefony, Android, PC, Windows, </w:t>
            </w:r>
            <w:r w:rsidR="00C63AAC" w:rsidRPr="006B458D">
              <w:rPr>
                <w:color w:val="000000" w:themeColor="text1"/>
              </w:rPr>
              <w:t>srovnání</w:t>
            </w:r>
            <w:r w:rsidRPr="006B458D">
              <w:rPr>
                <w:color w:val="000000" w:themeColor="text1"/>
              </w:rPr>
              <w:t xml:space="preserve"> platforem a OS, vývoj, trendy</w:t>
            </w:r>
            <w:r w:rsidR="00C63AAC" w:rsidRPr="006B458D">
              <w:rPr>
                <w:color w:val="000000" w:themeColor="text1"/>
              </w:rPr>
              <w:t>. Aktuální nabídka a parametry počítačových komponentů, procesory, paměti, periferie, rozhraní, zobrazovací hardware, vývoj hardware.</w:t>
            </w:r>
          </w:p>
          <w:p w14:paraId="71284E4F" w14:textId="77777777" w:rsidR="008306FC" w:rsidRPr="006B458D" w:rsidRDefault="008E714F" w:rsidP="00963826">
            <w:pPr>
              <w:pStyle w:val="Odstavecseseznamem"/>
              <w:numPr>
                <w:ilvl w:val="0"/>
                <w:numId w:val="1"/>
              </w:numPr>
              <w:tabs>
                <w:tab w:val="num" w:pos="357"/>
              </w:tabs>
              <w:ind w:left="357" w:hanging="357"/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Komunikace, sítě</w:t>
            </w:r>
            <w:r w:rsidR="00C63AAC" w:rsidRPr="006B458D">
              <w:rPr>
                <w:b/>
                <w:color w:val="000000" w:themeColor="text1"/>
              </w:rPr>
              <w:t xml:space="preserve"> </w:t>
            </w:r>
          </w:p>
          <w:p w14:paraId="2D9671E5" w14:textId="77777777" w:rsidR="008E714F" w:rsidRPr="006B458D" w:rsidRDefault="00C63AAC" w:rsidP="0052452B">
            <w:pPr>
              <w:tabs>
                <w:tab w:val="num" w:pos="357"/>
              </w:tabs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Z</w:t>
            </w:r>
            <w:r w:rsidR="008E714F" w:rsidRPr="006B458D">
              <w:rPr>
                <w:color w:val="000000" w:themeColor="text1"/>
              </w:rPr>
              <w:t>áklady sítí, síťový</w:t>
            </w:r>
            <w:r w:rsidR="00FB0C13" w:rsidRPr="006B458D">
              <w:rPr>
                <w:color w:val="000000" w:themeColor="text1"/>
              </w:rPr>
              <w:t xml:space="preserve"> a komunikační</w:t>
            </w:r>
            <w:r w:rsidR="008E714F" w:rsidRPr="006B458D">
              <w:rPr>
                <w:color w:val="000000" w:themeColor="text1"/>
              </w:rPr>
              <w:t xml:space="preserve"> hardware, </w:t>
            </w:r>
            <w:r w:rsidRPr="006B458D">
              <w:rPr>
                <w:color w:val="000000" w:themeColor="text1"/>
              </w:rPr>
              <w:t>bezdrátové technologie a platformy, vývojové trendy v oblasti komunikací IT, IoT, IoE, Io</w:t>
            </w:r>
            <w:r w:rsidR="00FB0C13" w:rsidRPr="006B458D">
              <w:rPr>
                <w:color w:val="000000" w:themeColor="text1"/>
              </w:rPr>
              <w:t>X</w:t>
            </w:r>
            <w:r w:rsidR="00327C3A" w:rsidRPr="006B458D">
              <w:rPr>
                <w:color w:val="000000" w:themeColor="text1"/>
              </w:rPr>
              <w:t>.</w:t>
            </w:r>
            <w:r w:rsidRPr="006B458D">
              <w:rPr>
                <w:color w:val="000000" w:themeColor="text1"/>
              </w:rPr>
              <w:t xml:space="preserve"> </w:t>
            </w:r>
          </w:p>
          <w:p w14:paraId="46EA2760" w14:textId="77777777" w:rsidR="005D5FA9" w:rsidRPr="006B458D" w:rsidRDefault="008306FC" w:rsidP="00963826">
            <w:pPr>
              <w:pStyle w:val="Odstavecseseznamem"/>
              <w:numPr>
                <w:ilvl w:val="0"/>
                <w:numId w:val="1"/>
              </w:numPr>
              <w:tabs>
                <w:tab w:val="num" w:pos="357"/>
              </w:tabs>
              <w:ind w:left="357" w:hanging="357"/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 xml:space="preserve">Základy internetových technologií, služby </w:t>
            </w:r>
            <w:r w:rsidR="005D5FA9" w:rsidRPr="006B458D">
              <w:rPr>
                <w:b/>
                <w:color w:val="000000" w:themeColor="text1"/>
              </w:rPr>
              <w:t>I</w:t>
            </w:r>
            <w:r w:rsidRPr="006B458D">
              <w:rPr>
                <w:b/>
                <w:color w:val="000000" w:themeColor="text1"/>
              </w:rPr>
              <w:t>nternetu</w:t>
            </w:r>
            <w:r w:rsidRPr="006B458D">
              <w:rPr>
                <w:color w:val="000000" w:themeColor="text1"/>
              </w:rPr>
              <w:t xml:space="preserve">. </w:t>
            </w:r>
          </w:p>
          <w:p w14:paraId="55C123D9" w14:textId="77777777" w:rsidR="00C1411B" w:rsidRPr="006B458D" w:rsidRDefault="008306FC" w:rsidP="0052452B">
            <w:pPr>
              <w:tabs>
                <w:tab w:val="num" w:pos="357"/>
              </w:tabs>
              <w:jc w:val="both"/>
              <w:rPr>
                <w:b/>
                <w:color w:val="000000" w:themeColor="text1"/>
              </w:rPr>
            </w:pPr>
            <w:r w:rsidRPr="006B458D">
              <w:rPr>
                <w:color w:val="000000" w:themeColor="text1"/>
              </w:rPr>
              <w:t>Komunikace v síti, protokoly, ISO OSI model, TCP/IP protokol. Aplikační protokoly. Služby Internetu plynoucí z</w:t>
            </w:r>
            <w:r w:rsidR="000610BB" w:rsidRPr="006B458D">
              <w:rPr>
                <w:color w:val="000000" w:themeColor="text1"/>
              </w:rPr>
              <w:t> </w:t>
            </w:r>
            <w:r w:rsidRPr="006B458D">
              <w:rPr>
                <w:color w:val="000000" w:themeColor="text1"/>
              </w:rPr>
              <w:t>aplikačních protokolů základní příkazy (ipconfig, tracert, ping, arp). Služby pro přenos souborů. Vzdálená správa. Komunikační služby. Služby pro přenos a publikaci hypertextů (www)</w:t>
            </w:r>
            <w:r w:rsidR="00327C3A" w:rsidRPr="006B458D">
              <w:rPr>
                <w:color w:val="000000" w:themeColor="text1"/>
              </w:rPr>
              <w:t>.</w:t>
            </w:r>
          </w:p>
          <w:p w14:paraId="488FABE9" w14:textId="77777777" w:rsidR="005D5FA9" w:rsidRPr="006B458D" w:rsidRDefault="005D5FA9" w:rsidP="00963826">
            <w:pPr>
              <w:pStyle w:val="Odstavecseseznamem"/>
              <w:numPr>
                <w:ilvl w:val="0"/>
                <w:numId w:val="1"/>
              </w:numPr>
              <w:tabs>
                <w:tab w:val="num" w:pos="357"/>
              </w:tabs>
              <w:ind w:left="357" w:hanging="357"/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 xml:space="preserve">Pilíře a organizace </w:t>
            </w:r>
            <w:r w:rsidR="008306FC" w:rsidRPr="006B458D">
              <w:rPr>
                <w:b/>
                <w:color w:val="000000" w:themeColor="text1"/>
              </w:rPr>
              <w:t>Internet</w:t>
            </w:r>
            <w:r w:rsidRPr="006B458D">
              <w:rPr>
                <w:b/>
                <w:color w:val="000000" w:themeColor="text1"/>
              </w:rPr>
              <w:t>u, WWW</w:t>
            </w:r>
            <w:r w:rsidR="008306FC" w:rsidRPr="006B458D">
              <w:rPr>
                <w:b/>
                <w:color w:val="000000" w:themeColor="text1"/>
              </w:rPr>
              <w:t>.</w:t>
            </w:r>
          </w:p>
          <w:p w14:paraId="25AEA866" w14:textId="77777777" w:rsidR="00C1411B" w:rsidRPr="006B458D" w:rsidRDefault="008306FC" w:rsidP="0052452B">
            <w:pPr>
              <w:tabs>
                <w:tab w:val="num" w:pos="357"/>
              </w:tabs>
              <w:jc w:val="both"/>
              <w:rPr>
                <w:b/>
                <w:color w:val="000000" w:themeColor="text1"/>
              </w:rPr>
            </w:pPr>
            <w:r w:rsidRPr="006B458D">
              <w:rPr>
                <w:color w:val="000000" w:themeColor="text1"/>
              </w:rPr>
              <w:t>Domény. Správa a organizace domén. IANA</w:t>
            </w:r>
            <w:r w:rsidR="00C1411B" w:rsidRPr="006B458D">
              <w:rPr>
                <w:color w:val="000000" w:themeColor="text1"/>
              </w:rPr>
              <w:t>,</w:t>
            </w:r>
            <w:r w:rsidRPr="006B458D">
              <w:rPr>
                <w:color w:val="000000" w:themeColor="text1"/>
              </w:rPr>
              <w:t xml:space="preserve"> NIC. Fyzická infrastruktura. Bezpečnostní rizika</w:t>
            </w:r>
            <w:r w:rsidR="00C1411B" w:rsidRPr="006B458D">
              <w:rPr>
                <w:color w:val="000000" w:themeColor="text1"/>
              </w:rPr>
              <w:t>, b</w:t>
            </w:r>
            <w:r w:rsidRPr="006B458D">
              <w:rPr>
                <w:color w:val="000000" w:themeColor="text1"/>
              </w:rPr>
              <w:t>ezpečnost na Internetu. Zachycení paketů. Šifrování. Bezpečnostní politika</w:t>
            </w:r>
            <w:r w:rsidR="00C1411B" w:rsidRPr="006B458D">
              <w:rPr>
                <w:color w:val="000000" w:themeColor="text1"/>
              </w:rPr>
              <w:t xml:space="preserve">. </w:t>
            </w:r>
            <w:r w:rsidRPr="006B458D">
              <w:rPr>
                <w:color w:val="000000" w:themeColor="text1"/>
              </w:rPr>
              <w:t>WebMastering. Administrace domén. Registrace domén.</w:t>
            </w:r>
            <w:r w:rsidR="00C1411B" w:rsidRPr="006B458D">
              <w:rPr>
                <w:color w:val="000000" w:themeColor="text1"/>
              </w:rPr>
              <w:t xml:space="preserve"> </w:t>
            </w:r>
            <w:r w:rsidRPr="006B458D">
              <w:rPr>
                <w:color w:val="000000" w:themeColor="text1"/>
              </w:rPr>
              <w:t>Webhosting. Webové technologie</w:t>
            </w:r>
            <w:r w:rsidR="004C78FF" w:rsidRPr="006B458D">
              <w:rPr>
                <w:color w:val="000000" w:themeColor="text1"/>
              </w:rPr>
              <w:t>. WWW server. Publikace www stránek na www serveru, správa a</w:t>
            </w:r>
            <w:r w:rsidR="000610BB" w:rsidRPr="006B458D">
              <w:rPr>
                <w:color w:val="000000" w:themeColor="text1"/>
              </w:rPr>
              <w:t> </w:t>
            </w:r>
            <w:r w:rsidR="004C78FF" w:rsidRPr="006B458D">
              <w:rPr>
                <w:color w:val="000000" w:themeColor="text1"/>
              </w:rPr>
              <w:t>konfigurace lokálních serverů Apache a Xitami</w:t>
            </w:r>
            <w:r w:rsidR="00327C3A" w:rsidRPr="006B458D">
              <w:rPr>
                <w:color w:val="000000" w:themeColor="text1"/>
              </w:rPr>
              <w:t>.</w:t>
            </w:r>
          </w:p>
          <w:p w14:paraId="13CD567F" w14:textId="77777777" w:rsidR="005D5FA9" w:rsidRPr="006B458D" w:rsidRDefault="00C1411B" w:rsidP="00963826">
            <w:pPr>
              <w:pStyle w:val="Odstavecseseznamem"/>
              <w:numPr>
                <w:ilvl w:val="0"/>
                <w:numId w:val="1"/>
              </w:numPr>
              <w:tabs>
                <w:tab w:val="num" w:pos="357"/>
              </w:tabs>
              <w:ind w:left="357" w:hanging="357"/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Základní technologie pro tvorbu WWW</w:t>
            </w:r>
          </w:p>
          <w:p w14:paraId="4E225931" w14:textId="77777777" w:rsidR="003125CA" w:rsidRDefault="008306FC" w:rsidP="0052452B">
            <w:pPr>
              <w:tabs>
                <w:tab w:val="num" w:pos="357"/>
              </w:tabs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Značkovací jazyk HTML, XML</w:t>
            </w:r>
            <w:r w:rsidR="00C1411B" w:rsidRPr="006B458D">
              <w:rPr>
                <w:color w:val="000000" w:themeColor="text1"/>
              </w:rPr>
              <w:t xml:space="preserve">, </w:t>
            </w:r>
            <w:r w:rsidRPr="006B458D">
              <w:rPr>
                <w:color w:val="000000" w:themeColor="text1"/>
              </w:rPr>
              <w:t>editory. Struktura HTML dokumentu. Základní značky, tagy, atributy, elementy</w:t>
            </w:r>
            <w:r w:rsidR="004C78FF" w:rsidRPr="006B458D">
              <w:rPr>
                <w:color w:val="000000" w:themeColor="text1"/>
              </w:rPr>
              <w:t xml:space="preserve">. Dynamika ve www stránkách, JavaScript, CSS. </w:t>
            </w:r>
            <w:r w:rsidRPr="006B458D">
              <w:rPr>
                <w:color w:val="000000" w:themeColor="text1"/>
              </w:rPr>
              <w:t>Aspekty efektivního a ergonomického designu www prezentací. Volba základní struktury www prezentace. Vhodné umístění navigačních prvků. Přístupnost. Optimalizace pro vyhledávače</w:t>
            </w:r>
            <w:r w:rsidR="005D5FA9" w:rsidRPr="006B458D">
              <w:rPr>
                <w:color w:val="000000" w:themeColor="text1"/>
              </w:rPr>
              <w:t>, SEO</w:t>
            </w:r>
            <w:r w:rsidRPr="006B458D">
              <w:rPr>
                <w:color w:val="000000" w:themeColor="text1"/>
              </w:rPr>
              <w:t xml:space="preserve">. Validace. Multimediální objekty ve </w:t>
            </w:r>
            <w:r w:rsidR="005D5FA9" w:rsidRPr="006B458D">
              <w:rPr>
                <w:color w:val="000000" w:themeColor="text1"/>
              </w:rPr>
              <w:t>WWW</w:t>
            </w:r>
            <w:r w:rsidRPr="006B458D">
              <w:rPr>
                <w:color w:val="000000" w:themeColor="text1"/>
              </w:rPr>
              <w:t xml:space="preserve"> prezentacích</w:t>
            </w:r>
            <w:r w:rsidR="004C78FF" w:rsidRPr="006B458D">
              <w:rPr>
                <w:color w:val="000000" w:themeColor="text1"/>
              </w:rPr>
              <w:t>. OnLine editory, WYSIWYG editory.</w:t>
            </w:r>
          </w:p>
          <w:p w14:paraId="72A3D3EC" w14:textId="40105890" w:rsidR="008E5073" w:rsidRPr="0052452B" w:rsidRDefault="008E5073" w:rsidP="0052452B">
            <w:pPr>
              <w:tabs>
                <w:tab w:val="num" w:pos="357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6B458D" w:rsidRPr="006B458D" w14:paraId="41C76B00" w14:textId="77777777" w:rsidTr="2A1F2609">
        <w:trPr>
          <w:trHeight w:val="265"/>
        </w:trPr>
        <w:tc>
          <w:tcPr>
            <w:tcW w:w="3653" w:type="dxa"/>
            <w:gridSpan w:val="2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10E48F25" w14:textId="77777777" w:rsidR="003125CA" w:rsidRPr="006B458D" w:rsidRDefault="003125CA" w:rsidP="008D6804">
            <w:pPr>
              <w:jc w:val="both"/>
              <w:rPr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Studijní literatura a studijní pomůcky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  <w:bottom w:val="nil"/>
            </w:tcBorders>
          </w:tcPr>
          <w:p w14:paraId="0D0B940D" w14:textId="77777777" w:rsidR="003125CA" w:rsidRPr="006B458D" w:rsidRDefault="003125CA" w:rsidP="008D6804">
            <w:pPr>
              <w:jc w:val="both"/>
              <w:rPr>
                <w:color w:val="000000" w:themeColor="text1"/>
              </w:rPr>
            </w:pPr>
          </w:p>
        </w:tc>
      </w:tr>
      <w:tr w:rsidR="006B458D" w:rsidRPr="006B458D" w14:paraId="385CC617" w14:textId="77777777" w:rsidTr="2A1F2609">
        <w:trPr>
          <w:trHeight w:val="841"/>
        </w:trPr>
        <w:tc>
          <w:tcPr>
            <w:tcW w:w="9855" w:type="dxa"/>
            <w:gridSpan w:val="8"/>
            <w:tcBorders>
              <w:top w:val="nil"/>
            </w:tcBorders>
          </w:tcPr>
          <w:p w14:paraId="7DBC41C5" w14:textId="77777777" w:rsidR="003125CA" w:rsidRPr="006B458D" w:rsidRDefault="003125CA" w:rsidP="008D6804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Povinná:</w:t>
            </w:r>
          </w:p>
          <w:p w14:paraId="6A06FA8F" w14:textId="08F506CB" w:rsidR="00A94453" w:rsidRDefault="00A94453" w:rsidP="00A94453">
            <w:pPr>
              <w:jc w:val="both"/>
              <w:rPr>
                <w:color w:val="000000" w:themeColor="text1"/>
              </w:rPr>
            </w:pPr>
            <w:r w:rsidRPr="07BC0463">
              <w:rPr>
                <w:color w:val="000000" w:themeColor="text1"/>
              </w:rPr>
              <w:t>BOTLÍK, J., 20</w:t>
            </w:r>
            <w:r>
              <w:rPr>
                <w:color w:val="000000" w:themeColor="text1"/>
              </w:rPr>
              <w:t>21</w:t>
            </w:r>
            <w:r w:rsidRPr="07BC0463">
              <w:rPr>
                <w:color w:val="000000" w:themeColor="text1"/>
              </w:rPr>
              <w:t>.</w:t>
            </w:r>
            <w:r w:rsidRPr="00A94453">
              <w:rPr>
                <w:color w:val="000000" w:themeColor="text1"/>
              </w:rPr>
              <w:t xml:space="preserve"> Informační a internetové technologie</w:t>
            </w:r>
            <w:r w:rsidRPr="07BC0463">
              <w:rPr>
                <w:color w:val="000000" w:themeColor="text1"/>
              </w:rPr>
              <w:t xml:space="preserve">. Karviná: SU OPF. </w:t>
            </w:r>
            <w:r w:rsidRPr="00A94453">
              <w:rPr>
                <w:color w:val="000000" w:themeColor="text1"/>
              </w:rPr>
              <w:t>Distanční studijní text</w:t>
            </w:r>
            <w:r>
              <w:rPr>
                <w:color w:val="000000" w:themeColor="text1"/>
              </w:rPr>
              <w:t>.</w:t>
            </w:r>
          </w:p>
          <w:p w14:paraId="6A52FB1A" w14:textId="68700CBD" w:rsidR="000610BB" w:rsidRPr="006B458D" w:rsidRDefault="000610BB" w:rsidP="000610BB">
            <w:pPr>
              <w:jc w:val="both"/>
              <w:rPr>
                <w:color w:val="000000" w:themeColor="text1"/>
              </w:rPr>
            </w:pPr>
            <w:r w:rsidRPr="07BC0463">
              <w:rPr>
                <w:color w:val="000000" w:themeColor="text1"/>
              </w:rPr>
              <w:t>BOTLÍK, J.</w:t>
            </w:r>
            <w:r w:rsidR="00BB5D6F" w:rsidRPr="07BC0463">
              <w:rPr>
                <w:color w:val="000000" w:themeColor="text1"/>
              </w:rPr>
              <w:t>,</w:t>
            </w:r>
            <w:r w:rsidRPr="07BC0463">
              <w:rPr>
                <w:color w:val="000000" w:themeColor="text1"/>
              </w:rPr>
              <w:t xml:space="preserve"> 2016. Služby internetu a tv</w:t>
            </w:r>
            <w:r w:rsidRPr="07BC0463">
              <w:rPr>
                <w:i/>
                <w:iCs/>
                <w:color w:val="000000" w:themeColor="text1"/>
              </w:rPr>
              <w:t>orba</w:t>
            </w:r>
            <w:r w:rsidRPr="07BC0463">
              <w:rPr>
                <w:color w:val="000000" w:themeColor="text1"/>
              </w:rPr>
              <w:t xml:space="preserve"> WWW. Karviná: SU OPF. Distanční studijní opora.</w:t>
            </w:r>
          </w:p>
          <w:p w14:paraId="4BC4B1EA" w14:textId="153E5105" w:rsidR="00091A67" w:rsidRPr="006B458D" w:rsidRDefault="00091A67" w:rsidP="008D6804">
            <w:pPr>
              <w:jc w:val="both"/>
              <w:rPr>
                <w:color w:val="000000" w:themeColor="text1"/>
                <w:lang w:val="en-US"/>
              </w:rPr>
            </w:pPr>
            <w:r w:rsidRPr="006B458D">
              <w:rPr>
                <w:color w:val="000000" w:themeColor="text1"/>
              </w:rPr>
              <w:t>ENGLANDER, I.</w:t>
            </w:r>
            <w:r w:rsidR="00BB5D6F">
              <w:rPr>
                <w:color w:val="000000" w:themeColor="text1"/>
              </w:rPr>
              <w:t>,</w:t>
            </w:r>
            <w:r w:rsidRPr="006B458D">
              <w:rPr>
                <w:color w:val="000000" w:themeColor="text1"/>
              </w:rPr>
              <w:t xml:space="preserve"> </w:t>
            </w:r>
            <w:r w:rsidR="00050D98" w:rsidRPr="006B458D">
              <w:rPr>
                <w:color w:val="000000" w:themeColor="text1"/>
              </w:rPr>
              <w:t xml:space="preserve">2014. </w:t>
            </w:r>
            <w:r w:rsidRPr="006B458D">
              <w:rPr>
                <w:i/>
                <w:iCs/>
                <w:color w:val="000000" w:themeColor="text1"/>
              </w:rPr>
              <w:t>The architecture of computer hardware, systems software, and networking: An information technology approach</w:t>
            </w:r>
            <w:r w:rsidRPr="006B458D">
              <w:rPr>
                <w:color w:val="000000" w:themeColor="text1"/>
              </w:rPr>
              <w:t>. New York: Willey. ISBN 978-1118322635.</w:t>
            </w:r>
          </w:p>
          <w:p w14:paraId="055F8A32" w14:textId="77777777" w:rsidR="003125CA" w:rsidRPr="006B458D" w:rsidRDefault="005F6730" w:rsidP="008D6804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  <w:lang w:val="en-GB"/>
              </w:rPr>
              <w:t>DOSTÁLEK, L. a A. KABELOVÁ.</w:t>
            </w:r>
            <w:r w:rsidR="00050D98" w:rsidRPr="006B458D">
              <w:rPr>
                <w:color w:val="000000" w:themeColor="text1"/>
                <w:lang w:val="en-GB"/>
              </w:rPr>
              <w:t xml:space="preserve"> 2008.</w:t>
            </w:r>
            <w:r w:rsidRPr="006B458D">
              <w:rPr>
                <w:color w:val="000000" w:themeColor="text1"/>
                <w:lang w:val="en-GB"/>
              </w:rPr>
              <w:t xml:space="preserve"> </w:t>
            </w:r>
            <w:r w:rsidRPr="006B458D">
              <w:rPr>
                <w:i/>
                <w:color w:val="000000" w:themeColor="text1"/>
                <w:lang w:val="en-GB"/>
              </w:rPr>
              <w:t>Velký průvodce protokoly TCP/IP a systémem DNS</w:t>
            </w:r>
            <w:r w:rsidRPr="006B458D">
              <w:rPr>
                <w:color w:val="000000" w:themeColor="text1"/>
                <w:lang w:val="en-GB"/>
              </w:rPr>
              <w:t>. Praha: Computer Press. ISBN 80-7226-513-X. info</w:t>
            </w:r>
            <w:r w:rsidR="00BD148A" w:rsidRPr="006B458D">
              <w:rPr>
                <w:color w:val="000000" w:themeColor="text1"/>
                <w:lang w:val="en-GB"/>
              </w:rPr>
              <w:t>.</w:t>
            </w:r>
            <w:r w:rsidR="007B49F2" w:rsidRPr="006B458D">
              <w:rPr>
                <w:color w:val="000000" w:themeColor="text1"/>
              </w:rPr>
              <w:t xml:space="preserve"> </w:t>
            </w:r>
          </w:p>
          <w:p w14:paraId="0E27B00A" w14:textId="77777777" w:rsidR="003125CA" w:rsidRPr="006B458D" w:rsidRDefault="003125CA" w:rsidP="008D6804">
            <w:pPr>
              <w:jc w:val="both"/>
              <w:rPr>
                <w:color w:val="000000" w:themeColor="text1"/>
              </w:rPr>
            </w:pPr>
          </w:p>
          <w:p w14:paraId="41CDEB15" w14:textId="77777777" w:rsidR="00F75D36" w:rsidRPr="006B458D" w:rsidRDefault="003125CA" w:rsidP="00F75D36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Doporučená:</w:t>
            </w:r>
          </w:p>
          <w:p w14:paraId="18951585" w14:textId="51D28B7E" w:rsidR="00E856BD" w:rsidRPr="006B458D" w:rsidRDefault="00E856BD" w:rsidP="00E856BD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lastRenderedPageBreak/>
              <w:t>EBENEZER, A. R.</w:t>
            </w:r>
            <w:r w:rsidR="00BB5D6F">
              <w:rPr>
                <w:color w:val="000000" w:themeColor="text1"/>
              </w:rPr>
              <w:t>,</w:t>
            </w:r>
            <w:r w:rsidRPr="006B458D">
              <w:rPr>
                <w:color w:val="000000" w:themeColor="text1"/>
              </w:rPr>
              <w:t xml:space="preserve"> 2014. </w:t>
            </w:r>
            <w:r w:rsidRPr="006B458D">
              <w:rPr>
                <w:i/>
                <w:color w:val="000000" w:themeColor="text1"/>
              </w:rPr>
              <w:t>The Principles of Modern Web Design</w:t>
            </w:r>
            <w:r w:rsidRPr="006B458D">
              <w:rPr>
                <w:color w:val="000000" w:themeColor="text1"/>
              </w:rPr>
              <w:t>. CreateSpace Independent Publishing Platform.</w:t>
            </w:r>
          </w:p>
          <w:p w14:paraId="57F60445" w14:textId="0D572874" w:rsidR="00F75D36" w:rsidRPr="006B458D" w:rsidRDefault="00F75D36" w:rsidP="00F75D36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HAUSER, M. a kol.</w:t>
            </w:r>
            <w:r w:rsidR="00BB5D6F">
              <w:rPr>
                <w:color w:val="000000" w:themeColor="text1"/>
              </w:rPr>
              <w:t>,</w:t>
            </w:r>
            <w:r w:rsidR="00050D98" w:rsidRPr="006B458D">
              <w:rPr>
                <w:color w:val="000000" w:themeColor="text1"/>
              </w:rPr>
              <w:t xml:space="preserve"> 2006.</w:t>
            </w:r>
            <w:r w:rsidRPr="006B458D">
              <w:rPr>
                <w:color w:val="000000" w:themeColor="text1"/>
              </w:rPr>
              <w:t xml:space="preserve"> </w:t>
            </w:r>
            <w:r w:rsidRPr="006B458D">
              <w:rPr>
                <w:i/>
                <w:iCs/>
                <w:color w:val="000000" w:themeColor="text1"/>
              </w:rPr>
              <w:t>HTML a CSS - Velká kniha řešení</w:t>
            </w:r>
            <w:r w:rsidRPr="006B458D">
              <w:rPr>
                <w:color w:val="000000" w:themeColor="text1"/>
              </w:rPr>
              <w:t>. Praha: Computer Press. ISBN 80-251-1117-2.</w:t>
            </w:r>
          </w:p>
          <w:p w14:paraId="4F6A4F6A" w14:textId="63B7B54B" w:rsidR="00E856BD" w:rsidRPr="006B458D" w:rsidRDefault="00E856BD" w:rsidP="008D6804">
            <w:pPr>
              <w:jc w:val="both"/>
              <w:rPr>
                <w:color w:val="000000" w:themeColor="text1"/>
              </w:rPr>
            </w:pPr>
            <w:bookmarkStart w:id="0" w:name="OLE_LINK12"/>
            <w:bookmarkStart w:id="1" w:name="OLE_LINK13"/>
            <w:r w:rsidRPr="07BC0463">
              <w:rPr>
                <w:color w:val="000000" w:themeColor="text1"/>
              </w:rPr>
              <w:t>KUBÁTOVÁ, H.</w:t>
            </w:r>
            <w:r w:rsidR="00BB5D6F" w:rsidRPr="07BC0463">
              <w:rPr>
                <w:color w:val="000000" w:themeColor="text1"/>
              </w:rPr>
              <w:t>,</w:t>
            </w:r>
            <w:r w:rsidRPr="07BC0463">
              <w:rPr>
                <w:color w:val="000000" w:themeColor="text1"/>
              </w:rPr>
              <w:t xml:space="preserve"> 2013. </w:t>
            </w:r>
            <w:r w:rsidRPr="07BC0463">
              <w:rPr>
                <w:i/>
                <w:iCs/>
                <w:color w:val="000000" w:themeColor="text1"/>
              </w:rPr>
              <w:t>Struktura a architektura počítačů s řešenými příklady</w:t>
            </w:r>
            <w:r w:rsidRPr="07BC0463">
              <w:rPr>
                <w:color w:val="000000" w:themeColor="text1"/>
              </w:rPr>
              <w:t>. Praha: ČVUT. ISBN 978-80-01-05191-7.</w:t>
            </w:r>
            <w:bookmarkEnd w:id="0"/>
            <w:bookmarkEnd w:id="1"/>
          </w:p>
          <w:p w14:paraId="344BDCA2" w14:textId="77777777" w:rsidR="00E2024C" w:rsidRDefault="00F75D36" w:rsidP="00E2024C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SCHAFER, S. M.</w:t>
            </w:r>
            <w:r w:rsidR="00050D98" w:rsidRPr="006B458D">
              <w:rPr>
                <w:color w:val="000000" w:themeColor="text1"/>
              </w:rPr>
              <w:t>, 2009.</w:t>
            </w:r>
            <w:r w:rsidRPr="006B458D">
              <w:rPr>
                <w:color w:val="000000" w:themeColor="text1"/>
              </w:rPr>
              <w:t xml:space="preserve"> </w:t>
            </w:r>
            <w:r w:rsidRPr="006B458D">
              <w:rPr>
                <w:i/>
                <w:color w:val="000000" w:themeColor="text1"/>
              </w:rPr>
              <w:t>HTML, XHTML a CSS.</w:t>
            </w:r>
            <w:r w:rsidRPr="006B458D">
              <w:rPr>
                <w:color w:val="000000" w:themeColor="text1"/>
              </w:rPr>
              <w:t xml:space="preserve"> Praha: Grada. ISBN 978-80-247-2850-6.</w:t>
            </w:r>
          </w:p>
          <w:p w14:paraId="2D37CCCE" w14:textId="77777777" w:rsidR="00E2024C" w:rsidRDefault="00E2024C" w:rsidP="00E2024C">
            <w:pPr>
              <w:jc w:val="both"/>
              <w:rPr>
                <w:color w:val="000000" w:themeColor="text1"/>
              </w:rPr>
            </w:pPr>
          </w:p>
          <w:p w14:paraId="5B8A9C20" w14:textId="77777777" w:rsidR="00E2024C" w:rsidRDefault="00E2024C" w:rsidP="00E2024C">
            <w:pPr>
              <w:jc w:val="both"/>
              <w:rPr>
                <w:color w:val="000000" w:themeColor="text1"/>
              </w:rPr>
            </w:pPr>
          </w:p>
          <w:p w14:paraId="10951849" w14:textId="50B8C5D7" w:rsidR="00F03E3D" w:rsidRPr="006B458D" w:rsidRDefault="00F03E3D" w:rsidP="00E2024C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Studijní pomůcky:</w:t>
            </w:r>
          </w:p>
          <w:p w14:paraId="1CF93FCB" w14:textId="5469FF46" w:rsidR="00F03E3D" w:rsidRDefault="00F03E3D" w:rsidP="00F03E3D">
            <w:pPr>
              <w:jc w:val="both"/>
              <w:rPr>
                <w:color w:val="000000" w:themeColor="text1"/>
              </w:rPr>
            </w:pPr>
            <w:r w:rsidRPr="1D0DB228">
              <w:rPr>
                <w:color w:val="000000" w:themeColor="text1"/>
              </w:rPr>
              <w:t xml:space="preserve">Výuka seminářů probíhá na učebnách vybavených PC. </w:t>
            </w:r>
            <w:r w:rsidR="000F5355" w:rsidRPr="1D0DB228">
              <w:rPr>
                <w:color w:val="000000" w:themeColor="text1"/>
              </w:rPr>
              <w:t>Požadované programové vybavení je OS MS Windows a MS Office</w:t>
            </w:r>
            <w:r w:rsidR="006710CB">
              <w:rPr>
                <w:color w:val="000000" w:themeColor="text1"/>
              </w:rPr>
              <w:t xml:space="preserve"> a dále pomocí OpenSource software, FTP server/client, Web server/client, scanner sítě apod</w:t>
            </w:r>
            <w:r w:rsidR="000F5355" w:rsidRPr="1D0DB228">
              <w:rPr>
                <w:color w:val="000000" w:themeColor="text1"/>
              </w:rPr>
              <w:t>. Podpora výuky je zajištěná prostřednictvím IS SU, kdy studenti budou mít k dispozici prezentace přednášek, studijní oporu a doplňující texty a odkazy.</w:t>
            </w:r>
          </w:p>
          <w:p w14:paraId="635447D9" w14:textId="404472EA" w:rsidR="00F22E5A" w:rsidRPr="006B458D" w:rsidRDefault="00F22E5A" w:rsidP="00F03E3D">
            <w:pPr>
              <w:jc w:val="both"/>
              <w:rPr>
                <w:color w:val="000000" w:themeColor="text1"/>
              </w:rPr>
            </w:pPr>
          </w:p>
        </w:tc>
      </w:tr>
      <w:tr w:rsidR="006B458D" w:rsidRPr="006B458D" w14:paraId="1C376D50" w14:textId="77777777" w:rsidTr="2A1F2609">
        <w:tc>
          <w:tcPr>
            <w:tcW w:w="9855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 w:themeFill="accent2" w:themeFillTint="66"/>
          </w:tcPr>
          <w:p w14:paraId="47AC1F8C" w14:textId="77777777" w:rsidR="003125CA" w:rsidRPr="006B458D" w:rsidRDefault="003125CA" w:rsidP="008D6804">
            <w:pPr>
              <w:jc w:val="center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lastRenderedPageBreak/>
              <w:t>Informace ke kombinované nebo distanční formě</w:t>
            </w:r>
          </w:p>
        </w:tc>
      </w:tr>
      <w:tr w:rsidR="006B458D" w:rsidRPr="006B458D" w14:paraId="229E0C80" w14:textId="77777777" w:rsidTr="2A1F2609">
        <w:tc>
          <w:tcPr>
            <w:tcW w:w="4144" w:type="dxa"/>
            <w:gridSpan w:val="3"/>
            <w:tcBorders>
              <w:top w:val="single" w:sz="2" w:space="0" w:color="auto"/>
            </w:tcBorders>
            <w:shd w:val="clear" w:color="auto" w:fill="F7CAAC" w:themeFill="accent2" w:themeFillTint="66"/>
          </w:tcPr>
          <w:p w14:paraId="5E6FD85D" w14:textId="77777777" w:rsidR="003125CA" w:rsidRPr="006B458D" w:rsidRDefault="003125CA" w:rsidP="008D6804">
            <w:pPr>
              <w:jc w:val="both"/>
              <w:rPr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Rozsah konzultací (soustředění)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14:paraId="5B0B7F24" w14:textId="77777777" w:rsidR="003125CA" w:rsidRPr="006B458D" w:rsidRDefault="003125CA" w:rsidP="008D6804">
            <w:pPr>
              <w:jc w:val="both"/>
              <w:rPr>
                <w:color w:val="000000" w:themeColor="text1"/>
              </w:rPr>
            </w:pPr>
            <w:r w:rsidRPr="006B458D">
              <w:rPr>
                <w:color w:val="000000" w:themeColor="text1"/>
              </w:rPr>
              <w:t>16hod./semestr</w:t>
            </w:r>
          </w:p>
        </w:tc>
        <w:tc>
          <w:tcPr>
            <w:tcW w:w="4293" w:type="dxa"/>
            <w:gridSpan w:val="4"/>
            <w:tcBorders>
              <w:top w:val="single" w:sz="2" w:space="0" w:color="auto"/>
            </w:tcBorders>
            <w:shd w:val="clear" w:color="auto" w:fill="F7CAAC" w:themeFill="accent2" w:themeFillTint="66"/>
          </w:tcPr>
          <w:p w14:paraId="4FE5AE0E" w14:textId="77777777" w:rsidR="003125CA" w:rsidRPr="006B458D" w:rsidRDefault="003125CA" w:rsidP="008D6804">
            <w:pPr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 xml:space="preserve">hodin </w:t>
            </w:r>
          </w:p>
        </w:tc>
      </w:tr>
      <w:tr w:rsidR="006B458D" w:rsidRPr="006B458D" w14:paraId="411B0EB4" w14:textId="77777777" w:rsidTr="2A1F2609">
        <w:tc>
          <w:tcPr>
            <w:tcW w:w="9855" w:type="dxa"/>
            <w:gridSpan w:val="8"/>
            <w:shd w:val="clear" w:color="auto" w:fill="F7CAAC" w:themeFill="accent2" w:themeFillTint="66"/>
          </w:tcPr>
          <w:p w14:paraId="74E6E6E0" w14:textId="77777777" w:rsidR="003125CA" w:rsidRPr="006B458D" w:rsidRDefault="003125CA" w:rsidP="008D6804">
            <w:pPr>
              <w:jc w:val="both"/>
              <w:rPr>
                <w:b/>
                <w:color w:val="000000" w:themeColor="text1"/>
              </w:rPr>
            </w:pPr>
            <w:r w:rsidRPr="006B458D">
              <w:rPr>
                <w:b/>
                <w:color w:val="000000" w:themeColor="text1"/>
              </w:rPr>
              <w:t>Informace o způsobu kontaktu s vyučujícím</w:t>
            </w:r>
          </w:p>
        </w:tc>
      </w:tr>
      <w:tr w:rsidR="006B458D" w:rsidRPr="006B458D" w14:paraId="14A9B927" w14:textId="77777777" w:rsidTr="2A1F2609">
        <w:trPr>
          <w:trHeight w:val="340"/>
        </w:trPr>
        <w:tc>
          <w:tcPr>
            <w:tcW w:w="9855" w:type="dxa"/>
            <w:gridSpan w:val="8"/>
          </w:tcPr>
          <w:p w14:paraId="1658CAD6" w14:textId="097B19DA" w:rsidR="003125CA" w:rsidRPr="006B458D" w:rsidRDefault="27321301" w:rsidP="7998203C">
            <w:pPr>
              <w:jc w:val="both"/>
              <w:rPr>
                <w:color w:val="000000" w:themeColor="text1"/>
              </w:rPr>
            </w:pPr>
            <w:r w:rsidRPr="7998203C">
              <w:rPr>
                <w:color w:val="000000" w:themeColor="text1"/>
              </w:rPr>
              <w:t>Přímá výuka, e-mail, prostřednictvím IS SU, MS Teams, konzultační hodiny.</w:t>
            </w:r>
          </w:p>
        </w:tc>
      </w:tr>
    </w:tbl>
    <w:p w14:paraId="6DD6075F" w14:textId="19E5C4AD" w:rsidR="5680B123" w:rsidRDefault="5680B123" w:rsidP="5680B123"/>
    <w:sectPr w:rsidR="5680B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D6AF3"/>
    <w:multiLevelType w:val="hybridMultilevel"/>
    <w:tmpl w:val="D110F458"/>
    <w:lvl w:ilvl="0" w:tplc="90522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CA"/>
    <w:rsid w:val="00050D98"/>
    <w:rsid w:val="000610BB"/>
    <w:rsid w:val="00061168"/>
    <w:rsid w:val="000622BD"/>
    <w:rsid w:val="000767D2"/>
    <w:rsid w:val="00091A67"/>
    <w:rsid w:val="00093B6F"/>
    <w:rsid w:val="000D7CCA"/>
    <w:rsid w:val="000F5355"/>
    <w:rsid w:val="00142506"/>
    <w:rsid w:val="00147C30"/>
    <w:rsid w:val="001A7292"/>
    <w:rsid w:val="001C4F48"/>
    <w:rsid w:val="001E2C0B"/>
    <w:rsid w:val="00201E0C"/>
    <w:rsid w:val="00250178"/>
    <w:rsid w:val="0027514D"/>
    <w:rsid w:val="002868B5"/>
    <w:rsid w:val="002E4834"/>
    <w:rsid w:val="003125CA"/>
    <w:rsid w:val="0032426A"/>
    <w:rsid w:val="00327C3A"/>
    <w:rsid w:val="00387035"/>
    <w:rsid w:val="003B753E"/>
    <w:rsid w:val="003E4432"/>
    <w:rsid w:val="0046146D"/>
    <w:rsid w:val="00464BA7"/>
    <w:rsid w:val="00470EBC"/>
    <w:rsid w:val="004B32A4"/>
    <w:rsid w:val="004C78FF"/>
    <w:rsid w:val="004F2B4F"/>
    <w:rsid w:val="00500CFB"/>
    <w:rsid w:val="00506D2C"/>
    <w:rsid w:val="005172DD"/>
    <w:rsid w:val="0052452B"/>
    <w:rsid w:val="005A710F"/>
    <w:rsid w:val="005D4AC7"/>
    <w:rsid w:val="005D5FA9"/>
    <w:rsid w:val="005F2FE8"/>
    <w:rsid w:val="005F6730"/>
    <w:rsid w:val="005F6C80"/>
    <w:rsid w:val="0062083D"/>
    <w:rsid w:val="00643AB2"/>
    <w:rsid w:val="00647A8D"/>
    <w:rsid w:val="00650641"/>
    <w:rsid w:val="00656B15"/>
    <w:rsid w:val="006621E0"/>
    <w:rsid w:val="006710CB"/>
    <w:rsid w:val="006B458D"/>
    <w:rsid w:val="006D746C"/>
    <w:rsid w:val="006F4C71"/>
    <w:rsid w:val="007B49F2"/>
    <w:rsid w:val="007E0076"/>
    <w:rsid w:val="007F48D7"/>
    <w:rsid w:val="008306FC"/>
    <w:rsid w:val="0084502B"/>
    <w:rsid w:val="008927D8"/>
    <w:rsid w:val="00892E51"/>
    <w:rsid w:val="008A1841"/>
    <w:rsid w:val="008D05EB"/>
    <w:rsid w:val="008D2F68"/>
    <w:rsid w:val="008E5073"/>
    <w:rsid w:val="008E714F"/>
    <w:rsid w:val="00941696"/>
    <w:rsid w:val="00963826"/>
    <w:rsid w:val="00997608"/>
    <w:rsid w:val="009C2220"/>
    <w:rsid w:val="009C22B5"/>
    <w:rsid w:val="00A55D20"/>
    <w:rsid w:val="00A80B3C"/>
    <w:rsid w:val="00A94453"/>
    <w:rsid w:val="00AD056A"/>
    <w:rsid w:val="00AE74B2"/>
    <w:rsid w:val="00AF01D3"/>
    <w:rsid w:val="00AF550F"/>
    <w:rsid w:val="00B26B95"/>
    <w:rsid w:val="00B601A2"/>
    <w:rsid w:val="00BB5D6F"/>
    <w:rsid w:val="00BD148A"/>
    <w:rsid w:val="00C1411B"/>
    <w:rsid w:val="00C14816"/>
    <w:rsid w:val="00C63AAC"/>
    <w:rsid w:val="00C76971"/>
    <w:rsid w:val="00C80933"/>
    <w:rsid w:val="00C93D1C"/>
    <w:rsid w:val="00CC3FA5"/>
    <w:rsid w:val="00CE57ED"/>
    <w:rsid w:val="00D0606A"/>
    <w:rsid w:val="00D34A32"/>
    <w:rsid w:val="00D37F42"/>
    <w:rsid w:val="00D63F73"/>
    <w:rsid w:val="00D65D03"/>
    <w:rsid w:val="00D94C52"/>
    <w:rsid w:val="00DC795E"/>
    <w:rsid w:val="00DC79E6"/>
    <w:rsid w:val="00DD4A22"/>
    <w:rsid w:val="00E007E1"/>
    <w:rsid w:val="00E2024C"/>
    <w:rsid w:val="00E32B53"/>
    <w:rsid w:val="00E856BD"/>
    <w:rsid w:val="00EA4FC3"/>
    <w:rsid w:val="00EE7A6F"/>
    <w:rsid w:val="00EE7E9E"/>
    <w:rsid w:val="00EF1D3E"/>
    <w:rsid w:val="00EF2DEA"/>
    <w:rsid w:val="00F03E3D"/>
    <w:rsid w:val="00F22E5A"/>
    <w:rsid w:val="00F5679D"/>
    <w:rsid w:val="00F75D36"/>
    <w:rsid w:val="00FB0C13"/>
    <w:rsid w:val="00FC3932"/>
    <w:rsid w:val="00FC644B"/>
    <w:rsid w:val="00FF0674"/>
    <w:rsid w:val="0190C2C5"/>
    <w:rsid w:val="0191C27F"/>
    <w:rsid w:val="07BC0463"/>
    <w:rsid w:val="0F0BD9E0"/>
    <w:rsid w:val="1D0DB228"/>
    <w:rsid w:val="201A7BC7"/>
    <w:rsid w:val="27321301"/>
    <w:rsid w:val="277B096E"/>
    <w:rsid w:val="28C12A50"/>
    <w:rsid w:val="295B1FFB"/>
    <w:rsid w:val="295C6CF1"/>
    <w:rsid w:val="2A1F2609"/>
    <w:rsid w:val="2A7EA258"/>
    <w:rsid w:val="300C37B8"/>
    <w:rsid w:val="306069CD"/>
    <w:rsid w:val="371B2E05"/>
    <w:rsid w:val="487FA73E"/>
    <w:rsid w:val="4EF5A758"/>
    <w:rsid w:val="4EF767AF"/>
    <w:rsid w:val="510D1F1D"/>
    <w:rsid w:val="54B61CD8"/>
    <w:rsid w:val="5680B123"/>
    <w:rsid w:val="5A494D46"/>
    <w:rsid w:val="5CE4467B"/>
    <w:rsid w:val="65DF84E6"/>
    <w:rsid w:val="72A4DF91"/>
    <w:rsid w:val="73355934"/>
    <w:rsid w:val="7998203C"/>
    <w:rsid w:val="7C7989A2"/>
    <w:rsid w:val="7EDBE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6A6A"/>
  <w15:chartTrackingRefBased/>
  <w15:docId w15:val="{EA729D7D-CAD1-4FD2-9D97-668C157B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5CA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aliases w:val="Obsah Times"/>
    <w:basedOn w:val="Normln"/>
    <w:next w:val="Normlnodsazen"/>
    <w:autoRedefine/>
    <w:uiPriority w:val="39"/>
    <w:unhideWhenUsed/>
    <w:qFormat/>
    <w:rsid w:val="00250178"/>
    <w:pPr>
      <w:spacing w:before="120" w:after="120"/>
    </w:pPr>
    <w:rPr>
      <w:rFonts w:eastAsia="Calibri"/>
      <w:b/>
      <w:bCs/>
      <w:caps/>
    </w:rPr>
  </w:style>
  <w:style w:type="paragraph" w:styleId="Normlnodsazen">
    <w:name w:val="Normal Indent"/>
    <w:basedOn w:val="Normln"/>
    <w:uiPriority w:val="99"/>
    <w:semiHidden/>
    <w:unhideWhenUsed/>
    <w:rsid w:val="00250178"/>
    <w:pPr>
      <w:ind w:left="708"/>
    </w:p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125CA"/>
    <w:pPr>
      <w:ind w:left="720"/>
      <w:contextualSpacing/>
    </w:pPr>
  </w:style>
  <w:style w:type="character" w:customStyle="1" w:styleId="OdstavecseseznamemChar">
    <w:name w:val="Odstavec se seznamem Char"/>
    <w:aliases w:val="nad 1 Char,Název grafu Char"/>
    <w:basedOn w:val="Standardnpsmoodstavce"/>
    <w:link w:val="Odstavecseseznamem"/>
    <w:uiPriority w:val="34"/>
    <w:rsid w:val="003125CA"/>
    <w:rPr>
      <w:rFonts w:eastAsia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E285D1CACCAA45AAFB92FDCE8A6F04" ma:contentTypeVersion="9" ma:contentTypeDescription="Vytvoří nový dokument" ma:contentTypeScope="" ma:versionID="b9b0dd5d34f335c9b3e9ea56f1f86e4a">
  <xsd:schema xmlns:xsd="http://www.w3.org/2001/XMLSchema" xmlns:xs="http://www.w3.org/2001/XMLSchema" xmlns:p="http://schemas.microsoft.com/office/2006/metadata/properties" xmlns:ns2="141ee501-8326-44b3-8d21-343816f9f4ce" targetNamespace="http://schemas.microsoft.com/office/2006/metadata/properties" ma:root="true" ma:fieldsID="fe781f5a6577e14430f6dd2d778425b9" ns2:_="">
    <xsd:import namespace="141ee501-8326-44b3-8d21-343816f9f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e501-8326-44b3-8d21-343816f9f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920E7-1346-44AB-A03A-F9ED52716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1A8F3-6645-40E7-9C94-8C99BE3A30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A30CFD-296A-4293-9FBE-BB97024E9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ee501-8326-44b3-8d21-343816f9f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643</Words>
  <Characters>3796</Characters>
  <Application>Microsoft Office Word</Application>
  <DocSecurity>0</DocSecurity>
  <Lines>31</Lines>
  <Paragraphs>8</Paragraphs>
  <ScaleCrop>false</ScaleCrop>
  <Company>HP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labudkova</dc:creator>
  <cp:keywords/>
  <dc:description/>
  <cp:lastModifiedBy>Josef Botlík</cp:lastModifiedBy>
  <cp:revision>48</cp:revision>
  <dcterms:created xsi:type="dcterms:W3CDTF">2021-04-21T12:55:00Z</dcterms:created>
  <dcterms:modified xsi:type="dcterms:W3CDTF">2023-02-24T07:44:00Z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0x0101000CE285D1CACCAA45AAFB92FDCE8A6F04</vt:lpwstr>
  </property>
</Properties>
</file>