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0860E" w14:textId="77777777" w:rsidR="00EA5B9F" w:rsidRPr="00EA5B9F" w:rsidRDefault="00EA5B9F" w:rsidP="00E202F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A5B9F">
        <w:rPr>
          <w:rFonts w:ascii="Times New Roman" w:hAnsi="Times New Roman" w:cs="Times New Roman"/>
          <w:b/>
          <w:sz w:val="32"/>
          <w:szCs w:val="32"/>
        </w:rPr>
        <w:t>Řízení finančních a bankovních rizik – vybrané vzorce:</w:t>
      </w:r>
    </w:p>
    <w:p w14:paraId="2393801C" w14:textId="77777777" w:rsidR="00EA5B9F" w:rsidRPr="009D1D48" w:rsidRDefault="00EA5B9F" w:rsidP="00E202F0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6CA66E69" w14:textId="77777777" w:rsidR="008E7411" w:rsidRPr="00E202F0" w:rsidRDefault="00800785" w:rsidP="00E202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Metody měření finančních rizik</w:t>
      </w:r>
      <w:r w:rsidR="00E202F0" w:rsidRPr="00E202F0">
        <w:rPr>
          <w:rFonts w:ascii="Times New Roman" w:hAnsi="Times New Roman" w:cs="Times New Roman"/>
          <w:b/>
          <w:sz w:val="24"/>
          <w:szCs w:val="24"/>
        </w:rPr>
        <w:t>:</w:t>
      </w:r>
      <w:r w:rsidR="008E7411" w:rsidRPr="00E202F0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5"/>
        <w:gridCol w:w="4777"/>
      </w:tblGrid>
      <w:tr w:rsidR="0087546A" w14:paraId="068C6F71" w14:textId="77777777" w:rsidTr="00E202F0">
        <w:tc>
          <w:tcPr>
            <w:tcW w:w="4361" w:type="dxa"/>
          </w:tcPr>
          <w:p w14:paraId="47E6B3D8" w14:textId="77777777" w:rsidR="0087546A" w:rsidRDefault="00E202F0" w:rsidP="00471ED3">
            <w:pPr>
              <w:rPr>
                <w:sz w:val="16"/>
                <w:szCs w:val="16"/>
              </w:rPr>
            </w:pPr>
            <w:r w:rsidRPr="0087546A">
              <w:rPr>
                <w:position w:val="-30"/>
              </w:rPr>
              <w:object w:dxaOrig="2799" w:dyaOrig="680" w14:anchorId="091657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9.8pt;height:34.2pt" o:ole="" o:bordertopcolor="this" o:borderleftcolor="this" o:borderbottomcolor="this" o:borderrightcolor="this">
                  <v:imagedata r:id="rId7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Equation.3" ShapeID="_x0000_i1025" DrawAspect="Content" ObjectID="_1725389782" r:id="rId8"/>
              </w:object>
            </w:r>
          </w:p>
        </w:tc>
        <w:tc>
          <w:tcPr>
            <w:tcW w:w="4851" w:type="dxa"/>
          </w:tcPr>
          <w:p w14:paraId="788E4F7D" w14:textId="77777777" w:rsidR="0087546A" w:rsidRDefault="00E202F0" w:rsidP="00471ED3">
            <w:pPr>
              <w:rPr>
                <w:sz w:val="16"/>
                <w:szCs w:val="16"/>
              </w:rPr>
            </w:pPr>
            <w:r w:rsidRPr="00E202F0">
              <w:rPr>
                <w:position w:val="-30"/>
              </w:rPr>
              <w:object w:dxaOrig="3140" w:dyaOrig="680" w14:anchorId="39285332">
                <v:shape id="_x0000_i1026" type="#_x0000_t75" style="width:157.2pt;height:34.2pt" o:ole="" o:bordertopcolor="this" o:borderleftcolor="this" o:borderbottomcolor="this" o:borderrightcolor="this">
                  <v:imagedata r:id="rId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Equation.3" ShapeID="_x0000_i1026" DrawAspect="Content" ObjectID="_1725389783" r:id="rId10"/>
              </w:object>
            </w:r>
          </w:p>
        </w:tc>
      </w:tr>
    </w:tbl>
    <w:p w14:paraId="549BED6F" w14:textId="77777777" w:rsidR="0087546A" w:rsidRDefault="0087546A" w:rsidP="008E7411">
      <w:pPr>
        <w:spacing w:after="0" w:line="240" w:lineRule="auto"/>
        <w:rPr>
          <w:sz w:val="16"/>
          <w:szCs w:val="16"/>
        </w:rPr>
      </w:pPr>
    </w:p>
    <w:p w14:paraId="7CF09BAE" w14:textId="77777777" w:rsidR="0016732C" w:rsidRPr="00D62F4F" w:rsidRDefault="00D62F4F" w:rsidP="008E7411">
      <w:pPr>
        <w:spacing w:after="0" w:line="240" w:lineRule="auto"/>
        <w:rPr>
          <w:sz w:val="16"/>
          <w:szCs w:val="1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  <w:bdr w:val="single" w:sz="4" w:space="0" w:color="auto"/>
            </w:rPr>
            <m:t>VaR</m:t>
          </m:r>
          <m:r>
            <m:rPr>
              <m:sty m:val="p"/>
            </m:rPr>
            <w:rPr>
              <w:rFonts w:ascii="Cambria Math"/>
              <w:sz w:val="24"/>
              <w:szCs w:val="24"/>
              <w:bdr w:val="single" w:sz="4" w:space="0" w:color="auto"/>
            </w:rPr>
            <m:t xml:space="preserve">= </m:t>
          </m:r>
          <m:rad>
            <m:radPr>
              <m:degHide m:val="1"/>
              <m:ctrlPr>
                <w:rPr>
                  <w:rFonts w:ascii="Cambria Math" w:hAnsi="Cambria Math"/>
                  <w:sz w:val="24"/>
                  <w:szCs w:val="24"/>
                  <w:bdr w:val="single" w:sz="4" w:space="0" w:color="auto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  <w:bdr w:val="single" w:sz="4" w:space="0" w:color="auto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bdr w:val="single" w:sz="4" w:space="0" w:color="auto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bdr w:val="single" w:sz="4" w:space="0" w:color="auto"/>
                    </w:rPr>
                    <m:t>T</m:t>
                  </m:r>
                </m:sup>
              </m:sSup>
              <m:r>
                <m:rPr>
                  <m:sty m:val="p"/>
                </m:rPr>
                <w:rPr>
                  <w:rFonts w:ascii="Cambria Math"/>
                  <w:sz w:val="24"/>
                  <w:szCs w:val="24"/>
                  <w:bdr w:val="single" w:sz="4" w:space="0" w:color="auto"/>
                </w:rPr>
                <m:t>×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bdr w:val="single" w:sz="4" w:space="0" w:color="auto"/>
                </w:rPr>
                <m:t>C</m:t>
              </m:r>
              <m:r>
                <m:rPr>
                  <m:sty m:val="p"/>
                </m:rPr>
                <w:rPr>
                  <w:rFonts w:ascii="Cambria Math"/>
                  <w:sz w:val="24"/>
                  <w:szCs w:val="24"/>
                  <w:bdr w:val="single" w:sz="4" w:space="0" w:color="auto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sz w:val="24"/>
                  <w:szCs w:val="24"/>
                  <w:bdr w:val="single" w:sz="4" w:space="0" w:color="auto"/>
                </w:rPr>
                <m:t>×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bdr w:val="single" w:sz="4" w:space="0" w:color="auto"/>
                </w:rPr>
                <m:t>X</m:t>
              </m:r>
              <m:r>
                <m:rPr>
                  <m:sty m:val="p"/>
                </m:rPr>
                <w:rPr>
                  <w:rFonts w:ascii="Cambria Math"/>
                  <w:sz w:val="24"/>
                  <w:szCs w:val="24"/>
                  <w:bdr w:val="single" w:sz="4" w:space="0" w:color="auto"/>
                </w:rPr>
                <m:t xml:space="preserve"> </m:t>
              </m:r>
            </m:e>
          </m:rad>
          <m:r>
            <m:rPr>
              <m:sty m:val="p"/>
            </m:rPr>
            <w:rPr>
              <w:rFonts w:ascii="Cambria Math"/>
              <w:sz w:val="24"/>
              <w:szCs w:val="24"/>
              <w:bdr w:val="single" w:sz="4" w:space="0" w:color="auto"/>
            </w:rPr>
            <m:t xml:space="preserve"> </m:t>
          </m:r>
          <m:r>
            <m:rPr>
              <m:sty m:val="p"/>
            </m:rPr>
            <w:rPr>
              <w:rFonts w:ascii="Cambria Math"/>
              <w:sz w:val="24"/>
              <w:szCs w:val="24"/>
              <w:bdr w:val="single" w:sz="4" w:space="0" w:color="auto"/>
            </w:rPr>
            <m:t>×</m:t>
          </m:r>
          <m:r>
            <m:rPr>
              <m:sty m:val="p"/>
            </m:rPr>
            <w:rPr>
              <w:rFonts w:ascii="Cambria Math"/>
              <w:sz w:val="24"/>
              <w:szCs w:val="24"/>
              <w:bdr w:val="single" w:sz="4" w:space="0" w:color="auto"/>
            </w:rPr>
            <m:t xml:space="preserve"> </m:t>
          </m:r>
          <m:rad>
            <m:radPr>
              <m:degHide m:val="1"/>
              <m:ctrlPr>
                <w:rPr>
                  <w:rFonts w:ascii="Cambria Math" w:hAnsi="Cambria Math"/>
                  <w:sz w:val="24"/>
                  <w:szCs w:val="24"/>
                  <w:bdr w:val="single" w:sz="4" w:space="0" w:color="auto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bdr w:val="single" w:sz="4" w:space="0" w:color="auto"/>
                </w:rPr>
                <m:t>T</m:t>
              </m:r>
            </m:e>
          </m:rad>
        </m:oMath>
      </m:oMathPara>
    </w:p>
    <w:p w14:paraId="359152AE" w14:textId="77777777" w:rsidR="0016732C" w:rsidRDefault="0016732C" w:rsidP="008E7411">
      <w:pPr>
        <w:spacing w:after="0" w:line="240" w:lineRule="auto"/>
        <w:rPr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8"/>
        <w:gridCol w:w="4734"/>
      </w:tblGrid>
      <w:tr w:rsidR="0016732C" w14:paraId="45F196FB" w14:textId="77777777" w:rsidTr="0016732C">
        <w:tc>
          <w:tcPr>
            <w:tcW w:w="4361" w:type="dxa"/>
          </w:tcPr>
          <w:p w14:paraId="231DA96A" w14:textId="77777777" w:rsidR="0016732C" w:rsidRPr="00D62F4F" w:rsidRDefault="00D62F4F" w:rsidP="008E7411">
            <w:pPr>
              <w:rPr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bdr w:val="single" w:sz="4" w:space="0" w:color="auto"/>
                  </w:rPr>
                  <m:t xml:space="preserve">C=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sz w:val="24"/>
                        <w:szCs w:val="24"/>
                        <w:bdr w:val="single" w:sz="4" w:space="0" w:color="auto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sz w:val="24"/>
                            <w:szCs w:val="24"/>
                            <w:bdr w:val="single" w:sz="4" w:space="0" w:color="auto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bdr w:val="single" w:sz="4" w:space="0" w:color="auto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bdr w:val="single" w:sz="4" w:space="0" w:color="auto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  <w:bdr w:val="single" w:sz="4" w:space="0" w:color="auto"/>
                                        </w:rPr>
                                        <m:t>1</m:t>
                                      </m:r>
                                    </m:e>
                                  </m:mr>
                                  <m:m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  <w:bdr w:val="single" w:sz="4" w:space="0" w:color="auto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  <w:bdr w:val="single" w:sz="4" w:space="0" w:color="auto"/>
                                            </w:rPr>
                                            <m:t>k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  <w:bdr w:val="single" w:sz="4" w:space="0" w:color="auto"/>
                                            </w:rPr>
                                            <m:t>2,1</m:t>
                                          </m:r>
                                        </m:sub>
                                      </m:sSub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bdr w:val="single" w:sz="4" w:space="0" w:color="auto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bdr w:val="single" w:sz="4" w:space="0" w:color="auto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bdr w:val="single" w:sz="4" w:space="0" w:color="auto"/>
                                      </w:rPr>
                                      <m:t>3,1</m:t>
                                    </m:r>
                                  </m:sub>
                                </m:sSub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bdr w:val="single" w:sz="4" w:space="0" w:color="auto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bdr w:val="single" w:sz="4" w:space="0" w:color="auto"/>
                                      </w:rPr>
                                    </m:ctrlPr>
                                  </m:mPr>
                                  <m:m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  <w:bdr w:val="single" w:sz="4" w:space="0" w:color="auto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  <w:bdr w:val="single" w:sz="4" w:space="0" w:color="auto"/>
                                            </w:rPr>
                                            <m:t>k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  <w:bdr w:val="single" w:sz="4" w:space="0" w:color="auto"/>
                                            </w:rPr>
                                            <m:t>1,2</m:t>
                                          </m:r>
                                        </m:sub>
                                      </m:sSub>
                                    </m:e>
                                  </m:mr>
                                  <m:m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  <w:bdr w:val="single" w:sz="4" w:space="0" w:color="auto"/>
                                        </w:rPr>
                                        <m:t>1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bdr w:val="single" w:sz="4" w:space="0" w:color="auto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bdr w:val="single" w:sz="4" w:space="0" w:color="auto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bdr w:val="single" w:sz="4" w:space="0" w:color="auto"/>
                                      </w:rPr>
                                      <m:t>3,2</m:t>
                                    </m:r>
                                  </m:sub>
                                </m:sSub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bdr w:val="single" w:sz="4" w:space="0" w:color="auto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bdr w:val="single" w:sz="4" w:space="0" w:color="auto"/>
                                      </w:rPr>
                                    </m:ctrlPr>
                                  </m:mPr>
                                  <m:mr>
                                    <m:e>
                                      <m:m>
                                        <m:mPr>
                                          <m:mcs>
                                            <m:mc>
                                              <m:mcPr>
                                                <m:count m:val="3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  <w:bdr w:val="single" w:sz="4" w:space="0" w:color="auto"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sz w:val="24"/>
                                                    <w:szCs w:val="24"/>
                                                    <w:bdr w:val="single" w:sz="4" w:space="0" w:color="auto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sz w:val="24"/>
                                                    <w:szCs w:val="24"/>
                                                    <w:bdr w:val="single" w:sz="4" w:space="0" w:color="auto"/>
                                                  </w:rPr>
                                                  <m:t xml:space="preserve">   k</m:t>
                                                </m:r>
                                              </m:e>
                                              <m:sub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sz w:val="24"/>
                                                    <w:szCs w:val="24"/>
                                                    <w:bdr w:val="single" w:sz="4" w:space="0" w:color="auto"/>
                                                  </w:rPr>
                                                  <m:t>1,3</m:t>
                                                </m:r>
                                              </m:sub>
                                            </m:sSub>
                                          </m:e>
                                          <m: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  <w:bdr w:val="single" w:sz="4" w:space="0" w:color="auto"/>
                                              </w:rPr>
                                              <m:t xml:space="preserve">     …</m:t>
                                            </m:r>
                                          </m:e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sz w:val="24"/>
                                                    <w:szCs w:val="24"/>
                                                    <w:bdr w:val="single" w:sz="4" w:space="0" w:color="auto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sz w:val="24"/>
                                                    <w:szCs w:val="24"/>
                                                    <w:bdr w:val="single" w:sz="4" w:space="0" w:color="auto"/>
                                                  </w:rPr>
                                                  <m:t>k</m:t>
                                                </m:r>
                                              </m:e>
                                              <m:sub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sz w:val="24"/>
                                                    <w:szCs w:val="24"/>
                                                    <w:bdr w:val="single" w:sz="4" w:space="0" w:color="auto"/>
                                                  </w:rPr>
                                                  <m:t>1,n</m:t>
                                                </m:r>
                                              </m:sub>
                                            </m:sSub>
                                          </m:e>
                                        </m:mr>
                                      </m:m>
                                    </m:e>
                                  </m:mr>
                                  <m:mr>
                                    <m:e>
                                      <m:m>
                                        <m:mPr>
                                          <m:mcs>
                                            <m:mc>
                                              <m:mcPr>
                                                <m:count m:val="3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  <w:bdr w:val="single" w:sz="4" w:space="0" w:color="auto"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sz w:val="24"/>
                                                    <w:szCs w:val="24"/>
                                                    <w:bdr w:val="single" w:sz="4" w:space="0" w:color="auto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sz w:val="24"/>
                                                    <w:szCs w:val="24"/>
                                                    <w:bdr w:val="single" w:sz="4" w:space="0" w:color="auto"/>
                                                  </w:rPr>
                                                  <m:t xml:space="preserve">   k</m:t>
                                                </m:r>
                                              </m:e>
                                              <m:sub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sz w:val="24"/>
                                                    <w:szCs w:val="24"/>
                                                    <w:bdr w:val="single" w:sz="4" w:space="0" w:color="auto"/>
                                                  </w:rPr>
                                                  <m:t>2,3</m:t>
                                                </m:r>
                                              </m:sub>
                                            </m:sSub>
                                          </m:e>
                                          <m: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  <w:bdr w:val="single" w:sz="4" w:space="0" w:color="auto"/>
                                              </w:rPr>
                                              <m:t xml:space="preserve">     …</m:t>
                                            </m:r>
                                          </m:e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sz w:val="24"/>
                                                    <w:szCs w:val="24"/>
                                                    <w:bdr w:val="single" w:sz="4" w:space="0" w:color="auto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sz w:val="24"/>
                                                    <w:szCs w:val="24"/>
                                                    <w:bdr w:val="single" w:sz="4" w:space="0" w:color="auto"/>
                                                  </w:rPr>
                                                  <m:t>k</m:t>
                                                </m:r>
                                              </m:e>
                                              <m:sub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sz w:val="24"/>
                                                    <w:szCs w:val="24"/>
                                                    <w:bdr w:val="single" w:sz="4" w:space="0" w:color="auto"/>
                                                  </w:rPr>
                                                  <m:t>2,n</m:t>
                                                </m:r>
                                              </m:sub>
                                            </m:sSub>
                                          </m:e>
                                        </m:mr>
                                      </m:m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3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bdr w:val="single" w:sz="4" w:space="0" w:color="auto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  <w:bdr w:val="single" w:sz="4" w:space="0" w:color="auto"/>
                                        </w:rPr>
                                        <m:t xml:space="preserve">     1</m:t>
                                      </m:r>
                                    </m:e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  <w:bdr w:val="single" w:sz="4" w:space="0" w:color="auto"/>
                                        </w:rPr>
                                        <m:t xml:space="preserve">       …</m:t>
                                      </m:r>
                                    </m:e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  <w:bdr w:val="single" w:sz="4" w:space="0" w:color="auto"/>
                                        </w:rPr>
                                        <m:t xml:space="preserve">   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  <w:bdr w:val="single" w:sz="4" w:space="0" w:color="auto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  <w:bdr w:val="single" w:sz="4" w:space="0" w:color="auto"/>
                                            </w:rPr>
                                            <m:t>k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  <w:bdr w:val="single" w:sz="4" w:space="0" w:color="auto"/>
                                            </w:rPr>
                                            <m:t>3,n</m:t>
                                          </m:r>
                                        </m:sub>
                                      </m:sSub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bdr w:val="single" w:sz="4" w:space="0" w:color="auto"/>
                            </w:rPr>
                            <m:t>…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bdr w:val="single" w:sz="4" w:space="0" w:color="auto"/>
                            </w:rPr>
                            <m:t>…</m:t>
                          </m:r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3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bdr w:val="single" w:sz="4" w:space="0" w:color="auto"/>
                                </w:rPr>
                              </m:ctrlPr>
                            </m:mPr>
                            <m:m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bdr w:val="single" w:sz="4" w:space="0" w:color="auto"/>
                                  </w:rPr>
                                  <m:t>…</m:t>
                                </m:r>
                              </m:e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bdr w:val="single" w:sz="4" w:space="0" w:color="auto"/>
                                  </w:rPr>
                                  <m:t xml:space="preserve">      …</m:t>
                                </m:r>
                              </m:e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bdr w:val="single" w:sz="4" w:space="0" w:color="auto"/>
                                  </w:rPr>
                                  <m:t xml:space="preserve">   …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bdr w:val="single" w:sz="4" w:space="0" w:color="auto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bdr w:val="single" w:sz="4" w:space="0" w:color="auto"/>
                                </w:rPr>
                                <m:t>k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bdr w:val="single" w:sz="4" w:space="0" w:color="auto"/>
                                </w:rPr>
                                <m:t>n,1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bdr w:val="single" w:sz="4" w:space="0" w:color="auto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bdr w:val="single" w:sz="4" w:space="0" w:color="auto"/>
                                </w:rPr>
                                <m:t>k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bdr w:val="single" w:sz="4" w:space="0" w:color="auto"/>
                                </w:rPr>
                                <m:t>n,2</m:t>
                              </m:r>
                            </m:sub>
                          </m:sSub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3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bdr w:val="single" w:sz="4" w:space="0" w:color="auto"/>
                                </w:rPr>
                              </m:ctrlPr>
                            </m:mP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bdr w:val="single" w:sz="4" w:space="0" w:color="auto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bdr w:val="single" w:sz="4" w:space="0" w:color="auto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bdr w:val="single" w:sz="4" w:space="0" w:color="auto"/>
                                      </w:rPr>
                                      <m:t>n,3</m:t>
                                    </m:r>
                                  </m:sub>
                                </m:sSub>
                              </m:e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bdr w:val="single" w:sz="4" w:space="0" w:color="auto"/>
                                  </w:rPr>
                                  <m:t>…</m:t>
                                </m:r>
                              </m:e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bdr w:val="single" w:sz="4" w:space="0" w:color="auto"/>
                                  </w:rPr>
                                  <m:t xml:space="preserve">   1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4851" w:type="dxa"/>
          </w:tcPr>
          <w:p w14:paraId="43F916EF" w14:textId="77777777" w:rsidR="0016732C" w:rsidRPr="00D62F4F" w:rsidRDefault="00D62F4F" w:rsidP="008E7411">
            <w:pPr>
              <w:rPr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bdr w:val="single" w:sz="4" w:space="0" w:color="auto"/>
                  </w:rPr>
                  <m:t>X=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sz w:val="24"/>
                        <w:szCs w:val="24"/>
                        <w:bdr w:val="single" w:sz="4" w:space="0" w:color="auto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sz w:val="24"/>
                            <w:szCs w:val="24"/>
                            <w:bdr w:val="single" w:sz="4" w:space="0" w:color="auto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bdr w:val="single" w:sz="4" w:space="0" w:color="auto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bdr w:val="single" w:sz="4" w:space="0" w:color="auto"/>
                                </w:rPr>
                                <m:t>VaR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bdr w:val="single" w:sz="4" w:space="0" w:color="auto"/>
                                </w:rPr>
                                <m:t>1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bdr w:val="single" w:sz="4" w:space="0" w:color="auto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bdr w:val="single" w:sz="4" w:space="0" w:color="auto"/>
                                </w:rPr>
                                <m:t>VaR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bdr w:val="single" w:sz="4" w:space="0" w:color="auto"/>
                                </w:rPr>
                                <m:t>2</m:t>
                              </m:r>
                            </m:sub>
                          </m:sSub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bdr w:val="single" w:sz="4" w:space="0" w:color="auto"/>
                                </w:rPr>
                              </m:ctrlPr>
                            </m:mP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bdr w:val="single" w:sz="4" w:space="0" w:color="auto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bdr w:val="single" w:sz="4" w:space="0" w:color="auto"/>
                                      </w:rPr>
                                      <m:t>VaR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bdr w:val="single" w:sz="4" w:space="0" w:color="auto"/>
                                      </w:rPr>
                                      <m:t>3</m:t>
                                    </m:r>
                                  </m:sub>
                                </m:sSub>
                              </m:e>
                            </m:m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bdr w:val="single" w:sz="4" w:space="0" w:color="auto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  <w:bdr w:val="single" w:sz="4" w:space="0" w:color="auto"/>
                                        </w:rPr>
                                        <m:t>…</m:t>
                                      </m:r>
                                    </m:e>
                                  </m:mr>
                                  <m:m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  <w:bdr w:val="single" w:sz="4" w:space="0" w:color="auto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  <w:bdr w:val="single" w:sz="4" w:space="0" w:color="auto"/>
                                            </w:rPr>
                                            <m:t>VaR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  <w:bdr w:val="single" w:sz="4" w:space="0" w:color="auto"/>
                                            </w:rPr>
                                            <m:t>n</m:t>
                                          </m:r>
                                        </m:sub>
                                      </m:sSub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</m:mr>
                    </m:m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bdr w:val="single" w:sz="4" w:space="0" w:color="auto"/>
                  </w:rPr>
                  <m:t xml:space="preserve">=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sz w:val="24"/>
                        <w:szCs w:val="24"/>
                        <w:bdr w:val="single" w:sz="4" w:space="0" w:color="auto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sz w:val="24"/>
                            <w:szCs w:val="24"/>
                            <w:bdr w:val="single" w:sz="4" w:space="0" w:color="auto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bdr w:val="single" w:sz="4" w:space="0" w:color="auto"/>
                            </w:rPr>
                            <m:t xml:space="preserve">konst. ×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bdr w:val="single" w:sz="4" w:space="0" w:color="auto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bdr w:val="single" w:sz="4" w:space="0" w:color="auto"/>
                                </w:rPr>
                                <m:t>σ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bdr w:val="single" w:sz="4" w:space="0" w:color="auto"/>
                                </w:rPr>
                                <m:t>1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bdr w:val="single" w:sz="4" w:space="0" w:color="auto"/>
                            </w:rPr>
                            <m:t xml:space="preserve"> ×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bdr w:val="single" w:sz="4" w:space="0" w:color="auto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bdr w:val="single" w:sz="4" w:space="0" w:color="auto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bdr w:val="single" w:sz="4" w:space="0" w:color="auto"/>
                                </w:rPr>
                                <m:t>01</m:t>
                              </m:r>
                            </m:sub>
                          </m:sSub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bdr w:val="single" w:sz="4" w:space="0" w:color="auto"/>
                            </w:rPr>
                            <m:t xml:space="preserve">konst. ×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bdr w:val="single" w:sz="4" w:space="0" w:color="auto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bdr w:val="single" w:sz="4" w:space="0" w:color="auto"/>
                                </w:rPr>
                                <m:t>σ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bdr w:val="single" w:sz="4" w:space="0" w:color="auto"/>
                                </w:rPr>
                                <m:t>2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bdr w:val="single" w:sz="4" w:space="0" w:color="auto"/>
                            </w:rPr>
                            <m:t xml:space="preserve"> ×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bdr w:val="single" w:sz="4" w:space="0" w:color="auto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bdr w:val="single" w:sz="4" w:space="0" w:color="auto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bdr w:val="single" w:sz="4" w:space="0" w:color="auto"/>
                                </w:rPr>
                                <m:t>02</m:t>
                              </m:r>
                            </m:sub>
                          </m:sSub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bdr w:val="single" w:sz="4" w:space="0" w:color="auto"/>
                                </w:rPr>
                              </m:ctrlPr>
                            </m:mPr>
                            <m:m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bdr w:val="single" w:sz="4" w:space="0" w:color="auto"/>
                                  </w:rPr>
                                  <m:t xml:space="preserve">konst. × 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bdr w:val="single" w:sz="4" w:space="0" w:color="auto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bdr w:val="single" w:sz="4" w:space="0" w:color="auto"/>
                                      </w:rPr>
                                      <m:t>σ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bdr w:val="single" w:sz="4" w:space="0" w:color="auto"/>
                                      </w:rPr>
                                      <m:t>3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bdr w:val="single" w:sz="4" w:space="0" w:color="auto"/>
                                  </w:rPr>
                                  <m:t xml:space="preserve"> × 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bdr w:val="single" w:sz="4" w:space="0" w:color="auto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bdr w:val="single" w:sz="4" w:space="0" w:color="auto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bdr w:val="single" w:sz="4" w:space="0" w:color="auto"/>
                                      </w:rPr>
                                      <m:t>03</m:t>
                                    </m:r>
                                  </m:sub>
                                </m:sSub>
                              </m:e>
                            </m:m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bdr w:val="single" w:sz="4" w:space="0" w:color="auto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  <w:bdr w:val="single" w:sz="4" w:space="0" w:color="auto"/>
                                        </w:rPr>
                                        <m:t>…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  <w:bdr w:val="single" w:sz="4" w:space="0" w:color="auto"/>
                                        </w:rPr>
                                        <m:t xml:space="preserve">konst. × 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  <w:bdr w:val="single" w:sz="4" w:space="0" w:color="auto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  <w:bdr w:val="single" w:sz="4" w:space="0" w:color="auto"/>
                                            </w:rPr>
                                            <m:t>σ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  <w:bdr w:val="single" w:sz="4" w:space="0" w:color="auto"/>
                                            </w:rPr>
                                            <m:t>n</m:t>
                                          </m:r>
                                        </m:sub>
                                      </m:s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  <w:bdr w:val="single" w:sz="4" w:space="0" w:color="auto"/>
                                        </w:rPr>
                                        <m:t xml:space="preserve"> × 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  <w:bdr w:val="single" w:sz="4" w:space="0" w:color="auto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  <w:bdr w:val="single" w:sz="4" w:space="0" w:color="auto"/>
                                            </w:rPr>
                                            <m:t>V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  <w:bdr w:val="single" w:sz="4" w:space="0" w:color="auto"/>
                                            </w:rPr>
                                            <m:t>0n</m:t>
                                          </m:r>
                                        </m:sub>
                                      </m:sSub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</m:mr>
                    </m:m>
                  </m:e>
                </m:d>
              </m:oMath>
            </m:oMathPara>
          </w:p>
        </w:tc>
      </w:tr>
    </w:tbl>
    <w:p w14:paraId="6039F1F3" w14:textId="77777777" w:rsidR="0016732C" w:rsidRDefault="0016732C" w:rsidP="008E7411">
      <w:pPr>
        <w:spacing w:after="0" w:line="240" w:lineRule="auto"/>
        <w:rPr>
          <w:sz w:val="16"/>
          <w:szCs w:val="16"/>
        </w:rPr>
      </w:pPr>
    </w:p>
    <w:p w14:paraId="2A03DE28" w14:textId="77777777" w:rsidR="009D1D48" w:rsidRDefault="009D1D48" w:rsidP="008E7411">
      <w:pPr>
        <w:spacing w:after="0" w:line="240" w:lineRule="auto"/>
        <w:rPr>
          <w:sz w:val="16"/>
          <w:szCs w:val="16"/>
        </w:rPr>
      </w:pPr>
    </w:p>
    <w:p w14:paraId="716E6711" w14:textId="77777777" w:rsidR="00E202F0" w:rsidRPr="00E202F0" w:rsidRDefault="00E202F0" w:rsidP="00E202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02F0">
        <w:rPr>
          <w:rFonts w:ascii="Times New Roman" w:hAnsi="Times New Roman" w:cs="Times New Roman"/>
          <w:b/>
          <w:sz w:val="24"/>
          <w:szCs w:val="24"/>
        </w:rPr>
        <w:t>Modely měření úvěrového rizika: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3717"/>
      </w:tblGrid>
      <w:tr w:rsidR="00C97C0C" w14:paraId="7AAA5C43" w14:textId="77777777" w:rsidTr="00800785">
        <w:tc>
          <w:tcPr>
            <w:tcW w:w="4361" w:type="dxa"/>
          </w:tcPr>
          <w:p w14:paraId="3374DC68" w14:textId="77777777" w:rsidR="00C97C0C" w:rsidRPr="00D62F4F" w:rsidRDefault="00D62F4F" w:rsidP="00E202F0"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bdr w:val="single" w:sz="4" w:space="0" w:color="auto"/>
                  </w:rPr>
                  <m:t>DPT</m:t>
                </m:r>
                <m:r>
                  <m:rPr>
                    <m:sty m:val="p"/>
                  </m:rPr>
                  <w:rPr>
                    <w:rFonts w:ascii="Cambria Math" w:cs="Times New Roman"/>
                    <w:bdr w:val="single" w:sz="4" w:space="0" w:color="auto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bdr w:val="single" w:sz="4" w:space="0" w:color="auto"/>
                  </w:rPr>
                  <m:t>kr</m:t>
                </m:r>
                <m:r>
                  <m:rPr>
                    <m:sty m:val="p"/>
                  </m:rPr>
                  <w:rPr>
                    <w:rFonts w:ascii="Cambria Math" w:cs="Times New Roman"/>
                    <w:bdr w:val="single" w:sz="4" w:space="0" w:color="auto"/>
                  </w:rPr>
                  <m:t>á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bdr w:val="single" w:sz="4" w:space="0" w:color="auto"/>
                  </w:rPr>
                  <m:t>tk.</m:t>
                </m:r>
                <m:r>
                  <m:rPr>
                    <m:sty m:val="p"/>
                  </m:rPr>
                  <w:rPr>
                    <w:rFonts w:ascii="Cambria Math" w:cs="Times New Roman"/>
                    <w:bdr w:val="single" w:sz="4" w:space="0" w:color="auto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bdr w:val="single" w:sz="4" w:space="0" w:color="auto"/>
                  </w:rPr>
                  <m:t>dluhy</m:t>
                </m:r>
                <m:r>
                  <m:rPr>
                    <m:sty m:val="p"/>
                  </m:rPr>
                  <w:rPr>
                    <w:rFonts w:ascii="Cambria Math" w:cs="Times New Roman"/>
                    <w:bdr w:val="single" w:sz="4" w:space="0" w:color="auto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bdr w:val="single" w:sz="4" w:space="0" w:color="auto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cs="Times New Roman"/>
                        <w:bdr w:val="single" w:sz="4" w:space="0" w:color="auto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cs="Times New Roman"/>
                        <w:bdr w:val="single" w:sz="4" w:space="0" w:color="auto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bdr w:val="single" w:sz="4" w:space="0" w:color="auto"/>
                  </w:rPr>
                  <m:t>dlouh.</m:t>
                </m:r>
                <m:r>
                  <m:rPr>
                    <m:sty m:val="p"/>
                  </m:rPr>
                  <w:rPr>
                    <w:rFonts w:ascii="Cambria Math" w:cs="Times New Roman"/>
                    <w:bdr w:val="single" w:sz="4" w:space="0" w:color="auto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bdr w:val="single" w:sz="4" w:space="0" w:color="auto"/>
                  </w:rPr>
                  <m:t>dluh</m:t>
                </m:r>
                <m:r>
                  <m:rPr>
                    <m:sty m:val="p"/>
                  </m:rPr>
                  <w:rPr>
                    <w:rFonts w:ascii="Cambria Math" w:cs="Times New Roman"/>
                    <w:bdr w:val="single" w:sz="4" w:space="0" w:color="auto"/>
                  </w:rPr>
                  <m:t>ů</m:t>
                </m:r>
              </m:oMath>
            </m:oMathPara>
          </w:p>
        </w:tc>
        <w:tc>
          <w:tcPr>
            <w:tcW w:w="3717" w:type="dxa"/>
          </w:tcPr>
          <w:p w14:paraId="2538448B" w14:textId="77777777" w:rsidR="00C97C0C" w:rsidRPr="00D62F4F" w:rsidRDefault="00D62F4F" w:rsidP="008E7411">
            <w:pPr>
              <w:rPr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bdr w:val="single" w:sz="4" w:space="0" w:color="auto"/>
                  </w:rPr>
                  <m:t>DD=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bdr w:val="single" w:sz="4" w:space="0" w:color="auto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bdr w:val="single" w:sz="4" w:space="0" w:color="auto"/>
                      </w:rPr>
                      <m:t>E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  <w:bdr w:val="single" w:sz="4" w:space="0" w:color="auto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bdr w:val="single" w:sz="4" w:space="0" w:color="auto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bdr w:val="single" w:sz="4" w:space="0" w:color="auto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bdr w:val="single" w:sz="4" w:space="0" w:color="auto"/>
                              </w:rPr>
                              <m:t>1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bdr w:val="single" w:sz="4" w:space="0" w:color="auto"/>
                      </w:rPr>
                      <m:t>-DPT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bdr w:val="single" w:sz="4" w:space="0" w:color="auto"/>
                      </w:rPr>
                      <m:t>σ</m:t>
                    </m:r>
                  </m:den>
                </m:f>
              </m:oMath>
            </m:oMathPara>
          </w:p>
        </w:tc>
      </w:tr>
    </w:tbl>
    <w:p w14:paraId="74A27963" w14:textId="77777777" w:rsidR="0016732C" w:rsidRDefault="0016732C" w:rsidP="008E7411">
      <w:pPr>
        <w:spacing w:after="0" w:line="240" w:lineRule="auto"/>
        <w:rPr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606"/>
      </w:tblGrid>
      <w:tr w:rsidR="009E624B" w14:paraId="2E2455C8" w14:textId="77777777" w:rsidTr="00800785">
        <w:tc>
          <w:tcPr>
            <w:tcW w:w="4361" w:type="dxa"/>
          </w:tcPr>
          <w:p w14:paraId="1817BF55" w14:textId="77777777" w:rsidR="009E624B" w:rsidRPr="00D62F4F" w:rsidRDefault="00000000" w:rsidP="008E7411">
            <w:pPr>
              <w:rPr>
                <w:i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bdr w:val="single" w:sz="4" w:space="0" w:color="auto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bdr w:val="single" w:sz="4" w:space="0" w:color="auto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bdr w:val="single" w:sz="4" w:space="0" w:color="auto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bdr w:val="single" w:sz="4" w:space="0" w:color="auto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bdr w:val="single" w:sz="4" w:space="0" w:color="auto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bdr w:val="single" w:sz="4" w:space="0" w:color="auto"/>
                      </w:rPr>
                      <m:t xml:space="preserve">1+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bdr w:val="single" w:sz="4" w:space="0" w:color="auto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bdr w:val="single" w:sz="4" w:space="0" w:color="auto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bdr w:val="single" w:sz="4" w:space="0" w:color="auto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bdr w:val="single" w:sz="4" w:space="0" w:color="auto"/>
                      </w:rPr>
                      <m:t xml:space="preserve">1+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bdr w:val="single" w:sz="4" w:space="0" w:color="auto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bdr w:val="single" w:sz="4" w:space="0" w:color="auto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bdr w:val="single" w:sz="4" w:space="0" w:color="auto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4606" w:type="dxa"/>
          </w:tcPr>
          <w:p w14:paraId="6213D6CD" w14:textId="77777777" w:rsidR="009E624B" w:rsidRPr="00D62F4F" w:rsidRDefault="00000000" w:rsidP="008E7411">
            <w:pPr>
              <w:rPr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bdr w:val="single" w:sz="4" w:space="0" w:color="auto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bdr w:val="single" w:sz="4" w:space="0" w:color="auto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bdr w:val="single" w:sz="4" w:space="0" w:color="auto"/>
                      </w:rPr>
                      <m:t>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bdr w:val="single" w:sz="4" w:space="0" w:color="auto"/>
                      </w:rPr>
                      <m:t>*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bdr w:val="single" w:sz="4" w:space="0" w:color="auto"/>
                  </w:rPr>
                  <m:t xml:space="preserve">=1- 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bdr w:val="single" w:sz="4" w:space="0" w:color="auto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bdr w:val="single" w:sz="4" w:space="0" w:color="auto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bdr w:val="single" w:sz="4" w:space="0" w:color="auto"/>
                      </w:rPr>
                      <m:t>1</m:t>
                    </m:r>
                  </m:sub>
                </m:sSub>
              </m:oMath>
            </m:oMathPara>
          </w:p>
        </w:tc>
      </w:tr>
    </w:tbl>
    <w:p w14:paraId="42FBB54B" w14:textId="77777777" w:rsidR="00C97C0C" w:rsidRDefault="00C97C0C" w:rsidP="008E7411">
      <w:pPr>
        <w:spacing w:after="0" w:line="240" w:lineRule="auto"/>
        <w:rPr>
          <w:sz w:val="16"/>
          <w:szCs w:val="16"/>
        </w:rPr>
      </w:pPr>
    </w:p>
    <w:p w14:paraId="4D66DDB4" w14:textId="77777777" w:rsidR="009D1D48" w:rsidRDefault="009D1D48" w:rsidP="008E7411">
      <w:pPr>
        <w:spacing w:after="0" w:line="240" w:lineRule="auto"/>
        <w:rPr>
          <w:sz w:val="16"/>
          <w:szCs w:val="16"/>
        </w:rPr>
      </w:pPr>
    </w:p>
    <w:p w14:paraId="7E542BF6" w14:textId="77777777" w:rsidR="00800785" w:rsidRPr="00800785" w:rsidRDefault="00800785" w:rsidP="008E74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0785">
        <w:rPr>
          <w:rFonts w:ascii="Times New Roman" w:hAnsi="Times New Roman" w:cs="Times New Roman"/>
          <w:b/>
          <w:sz w:val="24"/>
          <w:szCs w:val="24"/>
        </w:rPr>
        <w:t>Transfer úvěrového rizika:</w:t>
      </w:r>
    </w:p>
    <w:p w14:paraId="7E2779F2" w14:textId="77777777" w:rsidR="00486F2C" w:rsidRDefault="00D62F4F" w:rsidP="008E7411">
      <w:pPr>
        <w:spacing w:after="0" w:line="240" w:lineRule="auto"/>
        <w:rPr>
          <w:sz w:val="16"/>
          <w:szCs w:val="1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  <w:bdr w:val="single" w:sz="4" w:space="0" w:color="auto"/>
            </w:rPr>
            <m:t>Platba ze swapu</m:t>
          </m:r>
          <m:r>
            <w:rPr>
              <w:rFonts w:ascii="Cambria Math" w:hAnsi="Cambria Math"/>
              <w:sz w:val="24"/>
              <w:szCs w:val="24"/>
              <w:bdr w:val="single" w:sz="4" w:space="0" w:color="auto"/>
            </w:rPr>
            <m:t xml:space="preserve">=F+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bdr w:val="single" w:sz="4" w:space="0" w:color="auto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bdr w:val="single" w:sz="4" w:space="0" w:color="auto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bdr w:val="single" w:sz="4" w:space="0" w:color="auto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bdr w:val="single" w:sz="4" w:space="0" w:color="auto"/>
                    </w:rPr>
                    <m:t>T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bdr w:val="single" w:sz="4" w:space="0" w:color="auto"/>
                </w:rPr>
                <m:t xml:space="preserve">-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bdr w:val="single" w:sz="4" w:space="0" w:color="auto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bdr w:val="single" w:sz="4" w:space="0" w:color="auto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bdr w:val="single" w:sz="4" w:space="0" w:color="auto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bdr w:val="single" w:sz="4" w:space="0" w:color="auto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bdr w:val="single" w:sz="4" w:space="0" w:color="auto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bdr w:val="single" w:sz="4" w:space="0" w:color="auto"/>
                    </w:rPr>
                    <m:t>0</m:t>
                  </m:r>
                </m:sub>
              </m:sSub>
            </m:den>
          </m:f>
        </m:oMath>
      </m:oMathPara>
    </w:p>
    <w:p w14:paraId="4B7E233D" w14:textId="77777777" w:rsidR="009E624B" w:rsidRDefault="009E624B" w:rsidP="008E7411">
      <w:pPr>
        <w:spacing w:after="0" w:line="240" w:lineRule="auto"/>
        <w:rPr>
          <w:sz w:val="16"/>
          <w:szCs w:val="16"/>
        </w:rPr>
      </w:pPr>
    </w:p>
    <w:p w14:paraId="411AAB69" w14:textId="77777777" w:rsidR="009D1D48" w:rsidRDefault="009D1D48" w:rsidP="008E7411">
      <w:pPr>
        <w:spacing w:after="0" w:line="240" w:lineRule="auto"/>
        <w:rPr>
          <w:sz w:val="16"/>
          <w:szCs w:val="16"/>
        </w:rPr>
      </w:pPr>
    </w:p>
    <w:p w14:paraId="372EA33A" w14:textId="77777777" w:rsidR="00800785" w:rsidRPr="00800785" w:rsidRDefault="00800785" w:rsidP="008E74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0785">
        <w:rPr>
          <w:rFonts w:ascii="Times New Roman" w:hAnsi="Times New Roman" w:cs="Times New Roman"/>
          <w:b/>
          <w:sz w:val="24"/>
          <w:szCs w:val="24"/>
        </w:rPr>
        <w:t>Měření tržního rizika: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606"/>
      </w:tblGrid>
      <w:tr w:rsidR="009E624B" w14:paraId="55896477" w14:textId="77777777" w:rsidTr="00EA5B9F">
        <w:tc>
          <w:tcPr>
            <w:tcW w:w="4361" w:type="dxa"/>
          </w:tcPr>
          <w:p w14:paraId="1338B7DF" w14:textId="77777777" w:rsidR="009E624B" w:rsidRDefault="00D62F4F" w:rsidP="00471ED3">
            <w:pPr>
              <w:rPr>
                <w:sz w:val="16"/>
                <w:szCs w:val="16"/>
              </w:rPr>
            </w:pPr>
            <w:r w:rsidRPr="00B30753">
              <w:rPr>
                <w:position w:val="-10"/>
              </w:rPr>
              <w:object w:dxaOrig="3440" w:dyaOrig="320" w14:anchorId="5B0C82C0">
                <v:shape id="_x0000_i1027" type="#_x0000_t75" style="width:172.2pt;height:16.2pt" o:ole="" o:bordertopcolor="this" o:borderleftcolor="this" o:borderbottomcolor="this" o:borderrightcolor="this">
                  <v:imagedata r:id="rId11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Equation.3" ShapeID="_x0000_i1027" DrawAspect="Content" ObjectID="_1725389784" r:id="rId12"/>
              </w:object>
            </w:r>
          </w:p>
        </w:tc>
        <w:tc>
          <w:tcPr>
            <w:tcW w:w="4606" w:type="dxa"/>
          </w:tcPr>
          <w:p w14:paraId="01F2AAA6" w14:textId="77777777" w:rsidR="009E624B" w:rsidRDefault="00D62F4F" w:rsidP="00471ED3">
            <w:pPr>
              <w:rPr>
                <w:sz w:val="16"/>
                <w:szCs w:val="16"/>
              </w:rPr>
            </w:pPr>
            <w:r w:rsidRPr="00B30753">
              <w:rPr>
                <w:position w:val="-10"/>
              </w:rPr>
              <w:object w:dxaOrig="2860" w:dyaOrig="340" w14:anchorId="0A00D493">
                <v:shape id="_x0000_i1028" type="#_x0000_t75" style="width:142.8pt;height:16.8pt" o:ole="" o:bordertopcolor="this" o:borderleftcolor="this" o:borderbottomcolor="this" o:borderrightcolor="this">
                  <v:imagedata r:id="rId13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Equation.3" ShapeID="_x0000_i1028" DrawAspect="Content" ObjectID="_1725389785" r:id="rId14"/>
              </w:object>
            </w:r>
          </w:p>
        </w:tc>
      </w:tr>
    </w:tbl>
    <w:p w14:paraId="12E011FC" w14:textId="77777777" w:rsidR="009E624B" w:rsidRDefault="009E624B" w:rsidP="009E624B">
      <w:pPr>
        <w:spacing w:after="0" w:line="240" w:lineRule="auto"/>
        <w:rPr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606"/>
      </w:tblGrid>
      <w:tr w:rsidR="00486F2C" w14:paraId="658CAFBC" w14:textId="77777777" w:rsidTr="00EA5B9F">
        <w:tc>
          <w:tcPr>
            <w:tcW w:w="4361" w:type="dxa"/>
          </w:tcPr>
          <w:p w14:paraId="391EB87B" w14:textId="77777777" w:rsidR="00486F2C" w:rsidRPr="00D62F4F" w:rsidRDefault="00D62F4F" w:rsidP="00471ED3">
            <w:pPr>
              <w:rPr>
                <w:i/>
                <w:sz w:val="16"/>
                <w:szCs w:val="16"/>
              </w:rPr>
            </w:pPr>
            <w:r w:rsidRPr="00D62F4F">
              <w:rPr>
                <w:i/>
                <w:position w:val="-64"/>
              </w:rPr>
              <w:object w:dxaOrig="1540" w:dyaOrig="1400" w14:anchorId="5CE7B031">
                <v:shape id="_x0000_i1029" type="#_x0000_t75" style="width:76.8pt;height:70.2pt" o:ole="" o:bordertopcolor="this" o:borderleftcolor="this" o:borderbottomcolor="this" o:borderrightcolor="this">
                  <v:imagedata r:id="rId15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Equation.3" ShapeID="_x0000_i1029" DrawAspect="Content" ObjectID="_1725389786" r:id="rId16"/>
              </w:object>
            </w:r>
          </w:p>
        </w:tc>
        <w:tc>
          <w:tcPr>
            <w:tcW w:w="4606" w:type="dxa"/>
          </w:tcPr>
          <w:p w14:paraId="6A98088B" w14:textId="77777777" w:rsidR="00486F2C" w:rsidRDefault="00D62F4F" w:rsidP="00471ED3">
            <w:pPr>
              <w:rPr>
                <w:sz w:val="16"/>
                <w:szCs w:val="16"/>
              </w:rPr>
            </w:pPr>
            <w:r w:rsidRPr="00C005D1">
              <w:rPr>
                <w:position w:val="-60"/>
              </w:rPr>
              <w:object w:dxaOrig="1780" w:dyaOrig="1320" w14:anchorId="3F5F28C2">
                <v:shape id="_x0000_i1030" type="#_x0000_t75" style="width:88.8pt;height:66pt" o:ole="" o:bordertopcolor="this" o:borderleftcolor="this" o:borderbottomcolor="this" o:borderrightcolor="this">
                  <v:imagedata r:id="rId17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Equation.3" ShapeID="_x0000_i1030" DrawAspect="Content" ObjectID="_1725389787" r:id="rId18"/>
              </w:object>
            </w:r>
          </w:p>
        </w:tc>
      </w:tr>
    </w:tbl>
    <w:p w14:paraId="613EA712" w14:textId="77777777" w:rsidR="00486F2C" w:rsidRDefault="00486F2C" w:rsidP="00486F2C">
      <w:pPr>
        <w:spacing w:after="0" w:line="240" w:lineRule="auto"/>
        <w:rPr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606"/>
      </w:tblGrid>
      <w:tr w:rsidR="00486F2C" w14:paraId="6554D6FF" w14:textId="77777777" w:rsidTr="00EA5B9F">
        <w:tc>
          <w:tcPr>
            <w:tcW w:w="4361" w:type="dxa"/>
          </w:tcPr>
          <w:p w14:paraId="3B9C4D55" w14:textId="77777777" w:rsidR="00486F2C" w:rsidRDefault="00D62F4F" w:rsidP="00471ED3">
            <w:pPr>
              <w:rPr>
                <w:sz w:val="16"/>
                <w:szCs w:val="16"/>
              </w:rPr>
            </w:pPr>
            <w:r w:rsidRPr="00B30753">
              <w:rPr>
                <w:position w:val="-10"/>
              </w:rPr>
              <w:object w:dxaOrig="3780" w:dyaOrig="340" w14:anchorId="40AB75F7">
                <v:shape id="_x0000_i1031" type="#_x0000_t75" style="width:189pt;height:16.8pt" o:ole="" o:bordertopcolor="this" o:borderleftcolor="this" o:borderbottomcolor="this" o:borderrightcolor="this">
                  <v:imagedata r:id="rId1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Equation.3" ShapeID="_x0000_i1031" DrawAspect="Content" ObjectID="_1725389788" r:id="rId20"/>
              </w:object>
            </w:r>
          </w:p>
        </w:tc>
        <w:tc>
          <w:tcPr>
            <w:tcW w:w="4606" w:type="dxa"/>
          </w:tcPr>
          <w:p w14:paraId="764F9004" w14:textId="77777777" w:rsidR="00486F2C" w:rsidRDefault="00D62F4F" w:rsidP="00471ED3">
            <w:pPr>
              <w:rPr>
                <w:sz w:val="16"/>
                <w:szCs w:val="16"/>
              </w:rPr>
            </w:pPr>
            <w:r w:rsidRPr="00B30753">
              <w:rPr>
                <w:position w:val="-10"/>
              </w:rPr>
              <w:object w:dxaOrig="3940" w:dyaOrig="340" w14:anchorId="0CD95642">
                <v:shape id="_x0000_i1032" type="#_x0000_t75" style="width:196.8pt;height:16.8pt" o:ole="" o:bordertopcolor="this" o:borderleftcolor="this" o:borderbottomcolor="this" o:borderrightcolor="this">
                  <v:imagedata r:id="rId21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Equation.3" ShapeID="_x0000_i1032" DrawAspect="Content" ObjectID="_1725389789" r:id="rId22"/>
              </w:object>
            </w:r>
          </w:p>
        </w:tc>
      </w:tr>
    </w:tbl>
    <w:p w14:paraId="02C8E40F" w14:textId="77777777" w:rsidR="00486F2C" w:rsidRDefault="00486F2C" w:rsidP="00486F2C">
      <w:pPr>
        <w:spacing w:after="0" w:line="240" w:lineRule="auto"/>
        <w:rPr>
          <w:sz w:val="16"/>
          <w:szCs w:val="16"/>
        </w:rPr>
      </w:pPr>
    </w:p>
    <w:p w14:paraId="6FE1CABE" w14:textId="77777777" w:rsidR="009D1D48" w:rsidRDefault="009D1D48" w:rsidP="00486F2C">
      <w:pPr>
        <w:spacing w:after="0" w:line="240" w:lineRule="auto"/>
        <w:rPr>
          <w:sz w:val="16"/>
          <w:szCs w:val="16"/>
        </w:rPr>
      </w:pPr>
    </w:p>
    <w:p w14:paraId="442BDD2D" w14:textId="77777777" w:rsidR="00800785" w:rsidRPr="00800785" w:rsidRDefault="00800785" w:rsidP="00486F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0785">
        <w:rPr>
          <w:rFonts w:ascii="Times New Roman" w:hAnsi="Times New Roman" w:cs="Times New Roman"/>
          <w:b/>
          <w:sz w:val="24"/>
          <w:szCs w:val="24"/>
        </w:rPr>
        <w:t>Výnosnost banky: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606"/>
      </w:tblGrid>
      <w:tr w:rsidR="000509EC" w14:paraId="6B4CF570" w14:textId="77777777" w:rsidTr="00EA5B9F">
        <w:tc>
          <w:tcPr>
            <w:tcW w:w="4361" w:type="dxa"/>
          </w:tcPr>
          <w:p w14:paraId="61D0E562" w14:textId="77777777" w:rsidR="000509EC" w:rsidRPr="000509EC" w:rsidRDefault="000509EC" w:rsidP="00954676">
            <w:pPr>
              <w:rPr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bdr w:val="single" w:sz="4" w:space="0" w:color="auto"/>
                  </w:rPr>
                  <m:t xml:space="preserve">ROA= 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bdr w:val="single" w:sz="4" w:space="0" w:color="auto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bdr w:val="single" w:sz="4" w:space="0" w:color="auto"/>
                      </w:rPr>
                      <m:t>zisk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bdr w:val="single" w:sz="4" w:space="0" w:color="auto"/>
                      </w:rPr>
                      <m:t>celková aktiva</m:t>
                    </m:r>
                  </m:den>
                </m:f>
              </m:oMath>
            </m:oMathPara>
          </w:p>
        </w:tc>
        <w:tc>
          <w:tcPr>
            <w:tcW w:w="4606" w:type="dxa"/>
          </w:tcPr>
          <w:p w14:paraId="25FCB8DE" w14:textId="77777777" w:rsidR="000509EC" w:rsidRPr="000509EC" w:rsidRDefault="000509EC" w:rsidP="00954676">
            <w:pPr>
              <w:rPr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bdr w:val="single" w:sz="4" w:space="0" w:color="auto"/>
                  </w:rPr>
                  <m:t xml:space="preserve">ROE= 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  <w:bdr w:val="single" w:sz="4" w:space="0" w:color="auto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bdr w:val="single" w:sz="4" w:space="0" w:color="auto"/>
                      </w:rPr>
                      <m:t>zisk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bdr w:val="single" w:sz="4" w:space="0" w:color="auto"/>
                      </w:rPr>
                      <m:t>celkový kapitál</m:t>
                    </m:r>
                  </m:den>
                </m:f>
              </m:oMath>
            </m:oMathPara>
          </w:p>
        </w:tc>
      </w:tr>
    </w:tbl>
    <w:p w14:paraId="0270ACE6" w14:textId="77777777" w:rsidR="000509EC" w:rsidRDefault="000509EC" w:rsidP="00486F2C">
      <w:pPr>
        <w:spacing w:after="0" w:line="240" w:lineRule="auto"/>
        <w:rPr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606"/>
      </w:tblGrid>
      <w:tr w:rsidR="000509EC" w14:paraId="1AAA2597" w14:textId="77777777" w:rsidTr="00EA5B9F">
        <w:tc>
          <w:tcPr>
            <w:tcW w:w="4361" w:type="dxa"/>
          </w:tcPr>
          <w:p w14:paraId="37A5938D" w14:textId="77777777" w:rsidR="000509EC" w:rsidRDefault="000509EC" w:rsidP="00471ED3">
            <w:pPr>
              <w:rPr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  <w:bdr w:val="single" w:sz="4" w:space="0" w:color="auto"/>
                  </w:rPr>
                  <m:t xml:space="preserve">RAROC=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bdr w:val="single" w:sz="4" w:space="0" w:color="aut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bdr w:val="single" w:sz="4" w:space="0" w:color="auto"/>
                      </w:rPr>
                      <m:t>zisk-EL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bdr w:val="single" w:sz="4" w:space="0" w:color="auto"/>
                      </w:rPr>
                      <m:t xml:space="preserve">CaR 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bdr w:val="single" w:sz="4" w:space="0" w:color="auto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bdr w:val="single" w:sz="4" w:space="0" w:color="auto"/>
                          </w:rPr>
                          <m:t>nebo UL</m:t>
                        </m:r>
                      </m:e>
                    </m:d>
                  </m:den>
                </m:f>
              </m:oMath>
            </m:oMathPara>
          </w:p>
        </w:tc>
        <w:tc>
          <w:tcPr>
            <w:tcW w:w="4606" w:type="dxa"/>
          </w:tcPr>
          <w:p w14:paraId="661A5134" w14:textId="77777777" w:rsidR="000509EC" w:rsidRDefault="0087546A" w:rsidP="00471ED3">
            <w:pPr>
              <w:rPr>
                <w:sz w:val="16"/>
                <w:szCs w:val="16"/>
              </w:rPr>
            </w:pPr>
            <w:r w:rsidRPr="000509EC">
              <w:rPr>
                <w:position w:val="-10"/>
                <w:sz w:val="16"/>
                <w:szCs w:val="16"/>
              </w:rPr>
              <w:object w:dxaOrig="3220" w:dyaOrig="340" w14:anchorId="08CEC712">
                <v:shape id="_x0000_i1033" type="#_x0000_t75" style="width:160.8pt;height:16.8pt" o:ole="" o:bordertopcolor="this" o:borderleftcolor="this" o:borderbottomcolor="this" o:borderrightcolor="this">
                  <v:imagedata r:id="rId23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Equation.3" ShapeID="_x0000_i1033" DrawAspect="Content" ObjectID="_1725389790" r:id="rId24"/>
              </w:object>
            </w:r>
          </w:p>
        </w:tc>
      </w:tr>
    </w:tbl>
    <w:p w14:paraId="0C70C256" w14:textId="77777777" w:rsidR="00486F2C" w:rsidRDefault="00486F2C" w:rsidP="00486F2C">
      <w:pPr>
        <w:spacing w:after="0" w:line="240" w:lineRule="auto"/>
        <w:rPr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606"/>
      </w:tblGrid>
      <w:tr w:rsidR="00486F2C" w14:paraId="4BADF626" w14:textId="77777777" w:rsidTr="00EA5B9F">
        <w:tc>
          <w:tcPr>
            <w:tcW w:w="4361" w:type="dxa"/>
          </w:tcPr>
          <w:p w14:paraId="5CDC24B9" w14:textId="77777777" w:rsidR="00486F2C" w:rsidRDefault="000509EC" w:rsidP="00471ED3">
            <w:pPr>
              <w:rPr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  <w:bdr w:val="single" w:sz="4" w:space="0" w:color="auto"/>
                  </w:rPr>
                  <m:t xml:space="preserve">WACC=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bdr w:val="single" w:sz="4" w:space="0" w:color="aut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bdr w:val="single" w:sz="4" w:space="0" w:color="auto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bdr w:val="single" w:sz="4" w:space="0" w:color="auto"/>
                      </w:rPr>
                      <m:t xml:space="preserve">D 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bdr w:val="single" w:sz="4" w:space="0" w:color="auto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bdr w:val="single" w:sz="4" w:space="0" w:color="auto"/>
                      </w:rPr>
                      <m:t>1-t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  <w:bdr w:val="single" w:sz="4" w:space="0" w:color="auto"/>
                  </w:rPr>
                  <m:t xml:space="preserve">×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bdr w:val="single" w:sz="4" w:space="0" w:color="aut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bdr w:val="single" w:sz="4" w:space="0" w:color="auto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bdr w:val="single" w:sz="4" w:space="0" w:color="auto"/>
                      </w:rPr>
                      <m:t>A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bdr w:val="single" w:sz="4" w:space="0" w:color="auto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bdr w:val="single" w:sz="4" w:space="0" w:color="aut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bdr w:val="single" w:sz="4" w:space="0" w:color="auto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bdr w:val="single" w:sz="4" w:space="0" w:color="auto"/>
                      </w:rPr>
                      <m:t>E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bdr w:val="single" w:sz="4" w:space="0" w:color="auto"/>
                  </w:rPr>
                  <m:t xml:space="preserve"> ×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bdr w:val="single" w:sz="4" w:space="0" w:color="aut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bdr w:val="single" w:sz="4" w:space="0" w:color="auto"/>
                      </w:rPr>
                      <m:t>E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bdr w:val="single" w:sz="4" w:space="0" w:color="auto"/>
                      </w:rPr>
                      <m:t>A</m:t>
                    </m:r>
                  </m:den>
                </m:f>
              </m:oMath>
            </m:oMathPara>
          </w:p>
        </w:tc>
        <w:tc>
          <w:tcPr>
            <w:tcW w:w="4606" w:type="dxa"/>
          </w:tcPr>
          <w:p w14:paraId="0479B1FD" w14:textId="77777777" w:rsidR="00486F2C" w:rsidRDefault="000509EC" w:rsidP="00471ED3">
            <w:pPr>
              <w:rPr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  <w:bdr w:val="single" w:sz="4" w:space="0" w:color="auto"/>
                  </w:rPr>
                  <m:t xml:space="preserve">r ≥oc+el+i+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bdr w:val="single" w:sz="4" w:space="0" w:color="auto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bdr w:val="single" w:sz="4" w:space="0" w:color="auto"/>
                      </w:rPr>
                      <m:t>WACC-i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  <w:bdr w:val="single" w:sz="4" w:space="0" w:color="auto"/>
                  </w:rPr>
                  <m:t xml:space="preserve"> ×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bdr w:val="single" w:sz="4" w:space="0" w:color="aut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bdr w:val="single" w:sz="4" w:space="0" w:color="auto"/>
                      </w:rPr>
                      <m:t>CaR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bdr w:val="single" w:sz="4" w:space="0" w:color="auto"/>
                      </w:rPr>
                      <m:t>E</m:t>
                    </m:r>
                  </m:den>
                </m:f>
              </m:oMath>
            </m:oMathPara>
          </w:p>
        </w:tc>
      </w:tr>
    </w:tbl>
    <w:p w14:paraId="6BC8F555" w14:textId="77777777" w:rsidR="008E7411" w:rsidRDefault="008E7411" w:rsidP="008E7411">
      <w:pPr>
        <w:spacing w:after="0"/>
        <w:rPr>
          <w:sz w:val="24"/>
          <w:szCs w:val="24"/>
        </w:rPr>
      </w:pPr>
    </w:p>
    <w:p w14:paraId="17789C71" w14:textId="77777777" w:rsidR="008E7411" w:rsidRDefault="008E7411"/>
    <w:sectPr w:rsidR="008E7411" w:rsidSect="00296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09F6B" w14:textId="77777777" w:rsidR="00AD4B03" w:rsidRDefault="00AD4B03" w:rsidP="0016732C">
      <w:pPr>
        <w:spacing w:after="0" w:line="240" w:lineRule="auto"/>
      </w:pPr>
      <w:r>
        <w:separator/>
      </w:r>
    </w:p>
  </w:endnote>
  <w:endnote w:type="continuationSeparator" w:id="0">
    <w:p w14:paraId="25ACAEB9" w14:textId="77777777" w:rsidR="00AD4B03" w:rsidRDefault="00AD4B03" w:rsidP="00167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4D5D2" w14:textId="77777777" w:rsidR="00AD4B03" w:rsidRDefault="00AD4B03" w:rsidP="0016732C">
      <w:pPr>
        <w:spacing w:after="0" w:line="240" w:lineRule="auto"/>
      </w:pPr>
      <w:r>
        <w:separator/>
      </w:r>
    </w:p>
  </w:footnote>
  <w:footnote w:type="continuationSeparator" w:id="0">
    <w:p w14:paraId="107CAAAA" w14:textId="77777777" w:rsidR="00AD4B03" w:rsidRDefault="00AD4B03" w:rsidP="001673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411"/>
    <w:rsid w:val="000509EC"/>
    <w:rsid w:val="0016732C"/>
    <w:rsid w:val="001821C7"/>
    <w:rsid w:val="00296055"/>
    <w:rsid w:val="00313310"/>
    <w:rsid w:val="00486F2C"/>
    <w:rsid w:val="0072393F"/>
    <w:rsid w:val="007C6ED6"/>
    <w:rsid w:val="007F232E"/>
    <w:rsid w:val="00800785"/>
    <w:rsid w:val="008646D3"/>
    <w:rsid w:val="0087546A"/>
    <w:rsid w:val="008E7411"/>
    <w:rsid w:val="00954676"/>
    <w:rsid w:val="009D1D48"/>
    <w:rsid w:val="009E624B"/>
    <w:rsid w:val="00A11900"/>
    <w:rsid w:val="00AD4B03"/>
    <w:rsid w:val="00C44F84"/>
    <w:rsid w:val="00C97C0C"/>
    <w:rsid w:val="00D62F4F"/>
    <w:rsid w:val="00E202F0"/>
    <w:rsid w:val="00E5263E"/>
    <w:rsid w:val="00EA5B9F"/>
    <w:rsid w:val="00F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7F226"/>
  <w15:docId w15:val="{32CF232D-FBA1-4C06-A2B4-02E39322C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60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E7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41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E7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67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32C"/>
  </w:style>
  <w:style w:type="paragraph" w:styleId="Zpat">
    <w:name w:val="footer"/>
    <w:basedOn w:val="Normln"/>
    <w:link w:val="ZpatChar"/>
    <w:uiPriority w:val="99"/>
    <w:semiHidden/>
    <w:unhideWhenUsed/>
    <w:rsid w:val="00167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67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79CAF2-C261-40F9-BEBA-79E0EB08D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vodova</dc:creator>
  <cp:lastModifiedBy>Roman Hlawiczka</cp:lastModifiedBy>
  <cp:revision>2</cp:revision>
  <dcterms:created xsi:type="dcterms:W3CDTF">2022-09-22T20:10:00Z</dcterms:created>
  <dcterms:modified xsi:type="dcterms:W3CDTF">2022-09-22T20:10:00Z</dcterms:modified>
</cp:coreProperties>
</file>