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Materiál obsahuje možnosti a způsoby stanovení nákladů kapitálu, tedy </w:t>
      </w:r>
      <w:r w:rsidRPr="006348D0">
        <w:rPr>
          <w:rFonts w:ascii="Arial" w:eastAsia="Times New Roman" w:hAnsi="Arial" w:cs="Arial"/>
          <w:b/>
          <w:color w:val="3D3D3D"/>
          <w:sz w:val="23"/>
          <w:szCs w:val="23"/>
          <w:lang w:val="cs-CZ" w:eastAsia="en-GB"/>
        </w:rPr>
        <w:t>WACC</w:t>
      </w:r>
      <w:r w:rsidRPr="006348D0">
        <w:rPr>
          <w:rFonts w:ascii="Arial" w:eastAsia="Times New Roman" w:hAnsi="Arial" w:cs="Arial"/>
          <w:color w:val="3D3D3D"/>
          <w:sz w:val="23"/>
          <w:szCs w:val="23"/>
          <w:lang w:val="cs-CZ" w:eastAsia="en-GB"/>
        </w:rPr>
        <w:t xml:space="preserve">, a jeho základních složek (nákladů na cizí a vlastní kapitál či bezrizikové sazby a přirážky za riziko). Obsahuje popis základních metod pro stanovení WACC (Model CAPM a </w:t>
      </w:r>
      <w:proofErr w:type="spellStart"/>
      <w:r w:rsidRPr="006348D0">
        <w:rPr>
          <w:rFonts w:ascii="Arial" w:eastAsia="Times New Roman" w:hAnsi="Arial" w:cs="Arial"/>
          <w:color w:val="3D3D3D"/>
          <w:sz w:val="23"/>
          <w:szCs w:val="23"/>
          <w:lang w:val="cs-CZ" w:eastAsia="en-GB"/>
        </w:rPr>
        <w:t>Gordonův</w:t>
      </w:r>
      <w:proofErr w:type="spellEnd"/>
      <w:r w:rsidRPr="006348D0">
        <w:rPr>
          <w:rFonts w:ascii="Arial" w:eastAsia="Times New Roman" w:hAnsi="Arial" w:cs="Arial"/>
          <w:color w:val="3D3D3D"/>
          <w:sz w:val="23"/>
          <w:szCs w:val="23"/>
          <w:lang w:val="cs-CZ" w:eastAsia="en-GB"/>
        </w:rPr>
        <w:t xml:space="preserve"> růstový model), popis Mezních nákladů kapitálu a jakým způsobem lze hodnotit projekty vystavené jinému obchodnímu riziku, než je stávající riziko firmy.</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7"/>
          <w:szCs w:val="27"/>
          <w:lang w:val="cs-CZ" w:eastAsia="en-GB"/>
        </w:rPr>
        <w:t>Náklady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kapitálu (či náklady na kapitál) jsou jakousi nákladovou sazbou složenou z finančních prostředků, které firma využívá jako kapitál a počítá se jako smíšená sazba z různých zdrojů financování. Obvykle má podobu váženého průměru nákladů kapitálu (WACC), ale všechny komponenty uvedené níže lze též nazývat širším pojmem "náklady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kapitálu se se využívají k:</w:t>
      </w:r>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vyhodnocení investičních projektů – náklady na kapitál slouží jako minimální výnos, kterého musí investiční projekty dosáhnout, a proto bývá často využívána jako tzv. </w:t>
      </w:r>
      <w:proofErr w:type="spellStart"/>
      <w:r w:rsidRPr="006348D0">
        <w:rPr>
          <w:rFonts w:ascii="Arial" w:eastAsia="Times New Roman" w:hAnsi="Arial" w:cs="Arial"/>
          <w:color w:val="3D3D3D"/>
          <w:sz w:val="23"/>
          <w:szCs w:val="23"/>
          <w:lang w:val="cs-CZ" w:eastAsia="en-GB"/>
        </w:rPr>
        <w:t>hurdle</w:t>
      </w:r>
      <w:proofErr w:type="spellEnd"/>
      <w:r w:rsidRPr="006348D0">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color w:val="3D3D3D"/>
          <w:sz w:val="23"/>
          <w:szCs w:val="23"/>
          <w:lang w:val="cs-CZ" w:eastAsia="en-GB"/>
        </w:rPr>
        <w:t>rate</w:t>
      </w:r>
      <w:proofErr w:type="spellEnd"/>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zhodnocení výkonnosti </w:t>
      </w:r>
      <w:proofErr w:type="gramStart"/>
      <w:r w:rsidRPr="006348D0">
        <w:rPr>
          <w:rFonts w:ascii="Arial" w:eastAsia="Times New Roman" w:hAnsi="Arial" w:cs="Arial"/>
          <w:color w:val="3D3D3D"/>
          <w:sz w:val="23"/>
          <w:szCs w:val="23"/>
          <w:lang w:val="cs-CZ" w:eastAsia="en-GB"/>
        </w:rPr>
        <w:t>podniku - WACC</w:t>
      </w:r>
      <w:proofErr w:type="gramEnd"/>
      <w:r w:rsidRPr="006348D0">
        <w:rPr>
          <w:rFonts w:ascii="Arial" w:eastAsia="Times New Roman" w:hAnsi="Arial" w:cs="Arial"/>
          <w:color w:val="3D3D3D"/>
          <w:sz w:val="23"/>
          <w:szCs w:val="23"/>
          <w:lang w:val="cs-CZ" w:eastAsia="en-GB"/>
        </w:rPr>
        <w:t> je součástí výpočtového vzorce ukazatele EVA</w:t>
      </w:r>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navržení optimální kapitálové </w:t>
      </w:r>
      <w:proofErr w:type="gramStart"/>
      <w:r w:rsidRPr="006348D0">
        <w:rPr>
          <w:rFonts w:ascii="Arial" w:eastAsia="Times New Roman" w:hAnsi="Arial" w:cs="Arial"/>
          <w:color w:val="3D3D3D"/>
          <w:sz w:val="23"/>
          <w:szCs w:val="23"/>
          <w:lang w:val="cs-CZ" w:eastAsia="en-GB"/>
        </w:rPr>
        <w:t>struktury - to</w:t>
      </w:r>
      <w:proofErr w:type="gramEnd"/>
      <w:r w:rsidRPr="006348D0">
        <w:rPr>
          <w:rFonts w:ascii="Arial" w:eastAsia="Times New Roman" w:hAnsi="Arial" w:cs="Arial"/>
          <w:color w:val="3D3D3D"/>
          <w:sz w:val="23"/>
          <w:szCs w:val="23"/>
          <w:lang w:val="cs-CZ" w:eastAsia="en-GB"/>
        </w:rPr>
        <w:t xml:space="preserve"> je taková struktura, která minimalizuje kapitálové náklady a zároveň maximalizuje hodnotu společnosti</w:t>
      </w:r>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nastavení politiky pro výplatu </w:t>
      </w:r>
      <w:proofErr w:type="gramStart"/>
      <w:r w:rsidRPr="006348D0">
        <w:rPr>
          <w:rFonts w:ascii="Arial" w:eastAsia="Times New Roman" w:hAnsi="Arial" w:cs="Arial"/>
          <w:color w:val="3D3D3D"/>
          <w:sz w:val="23"/>
          <w:szCs w:val="23"/>
          <w:lang w:val="cs-CZ" w:eastAsia="en-GB"/>
        </w:rPr>
        <w:t>dividend - v</w:t>
      </w:r>
      <w:proofErr w:type="gramEnd"/>
      <w:r w:rsidRPr="006348D0">
        <w:rPr>
          <w:rFonts w:ascii="Arial" w:eastAsia="Times New Roman" w:hAnsi="Arial" w:cs="Arial"/>
          <w:color w:val="3D3D3D"/>
          <w:sz w:val="23"/>
          <w:szCs w:val="23"/>
          <w:lang w:val="cs-CZ" w:eastAsia="en-GB"/>
        </w:rPr>
        <w:t xml:space="preserve"> případě, že je firma schopna docílit míry návratnosti nad úroveň kapitálových nákladů, mohou majitelé firmy obětovat současnou dividendu za účelem reinvestování těchto peněz</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Součástí nákladů kapitálu z pohledu různých zdrojů financování jsou:</w:t>
      </w:r>
    </w:p>
    <w:p w:rsidR="006348D0" w:rsidRPr="006348D0" w:rsidRDefault="006348D0" w:rsidP="006348D0">
      <w:pPr>
        <w:numPr>
          <w:ilvl w:val="0"/>
          <w:numId w:val="18"/>
        </w:numPr>
        <w:shd w:val="clear" w:color="auto" w:fill="FFFFFF"/>
        <w:spacing w:before="100" w:beforeAutospacing="1" w:after="100" w:afterAutospacing="1" w:line="360" w:lineRule="atLeast"/>
        <w:ind w:left="0"/>
        <w:rPr>
          <w:rFonts w:ascii="Arial" w:eastAsia="Times New Roman" w:hAnsi="Arial" w:cs="Arial"/>
          <w:b/>
          <w:color w:val="3D3D3D"/>
          <w:sz w:val="23"/>
          <w:szCs w:val="23"/>
          <w:lang w:val="cs-CZ" w:eastAsia="en-GB"/>
        </w:rPr>
      </w:pPr>
      <w:r w:rsidRPr="006348D0">
        <w:rPr>
          <w:rFonts w:ascii="Arial" w:eastAsia="Times New Roman" w:hAnsi="Arial" w:cs="Arial"/>
          <w:b/>
          <w:color w:val="3D3D3D"/>
          <w:sz w:val="23"/>
          <w:szCs w:val="23"/>
          <w:lang w:val="cs-CZ" w:eastAsia="en-GB"/>
        </w:rPr>
        <w:t>náklady na cizí kapitál</w:t>
      </w:r>
    </w:p>
    <w:p w:rsidR="006348D0" w:rsidRPr="006348D0" w:rsidRDefault="006348D0" w:rsidP="006348D0">
      <w:pPr>
        <w:numPr>
          <w:ilvl w:val="0"/>
          <w:numId w:val="18"/>
        </w:numPr>
        <w:shd w:val="clear" w:color="auto" w:fill="FFFFFF"/>
        <w:spacing w:before="100" w:beforeAutospacing="1" w:after="100" w:afterAutospacing="1" w:line="360" w:lineRule="atLeast"/>
        <w:ind w:left="0"/>
        <w:rPr>
          <w:rFonts w:ascii="Arial" w:eastAsia="Times New Roman" w:hAnsi="Arial" w:cs="Arial"/>
          <w:b/>
          <w:color w:val="3D3D3D"/>
          <w:sz w:val="23"/>
          <w:szCs w:val="23"/>
          <w:lang w:val="cs-CZ" w:eastAsia="en-GB"/>
        </w:rPr>
      </w:pPr>
      <w:r w:rsidRPr="006348D0">
        <w:rPr>
          <w:rFonts w:ascii="Arial" w:eastAsia="Times New Roman" w:hAnsi="Arial" w:cs="Arial"/>
          <w:b/>
          <w:color w:val="3D3D3D"/>
          <w:sz w:val="23"/>
          <w:szCs w:val="23"/>
          <w:lang w:val="cs-CZ" w:eastAsia="en-GB"/>
        </w:rPr>
        <w:t>náklady na akciový kapitál</w:t>
      </w:r>
    </w:p>
    <w:p w:rsidR="006348D0" w:rsidRPr="006348D0" w:rsidRDefault="006348D0" w:rsidP="006348D0">
      <w:pPr>
        <w:numPr>
          <w:ilvl w:val="0"/>
          <w:numId w:val="18"/>
        </w:numPr>
        <w:shd w:val="clear" w:color="auto" w:fill="FFFFFF"/>
        <w:spacing w:before="100" w:beforeAutospacing="1" w:after="100" w:afterAutospacing="1" w:line="360" w:lineRule="atLeast"/>
        <w:ind w:left="0"/>
        <w:rPr>
          <w:rFonts w:ascii="Arial" w:eastAsia="Times New Roman" w:hAnsi="Arial" w:cs="Arial"/>
          <w:b/>
          <w:color w:val="3D3D3D"/>
          <w:sz w:val="23"/>
          <w:szCs w:val="23"/>
          <w:lang w:val="cs-CZ" w:eastAsia="en-GB"/>
        </w:rPr>
      </w:pPr>
      <w:r w:rsidRPr="006348D0">
        <w:rPr>
          <w:rFonts w:ascii="Arial" w:eastAsia="Times New Roman" w:hAnsi="Arial" w:cs="Arial"/>
          <w:b/>
          <w:color w:val="3D3D3D"/>
          <w:sz w:val="23"/>
          <w:szCs w:val="23"/>
          <w:lang w:val="cs-CZ" w:eastAsia="en-GB"/>
        </w:rPr>
        <w:t>náklady nerozděleného zisku a jiných interních zdrojů financování</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Součástí nákladů kapitálu z pohledu rizika:</w:t>
      </w:r>
    </w:p>
    <w:p w:rsidR="006348D0" w:rsidRPr="006348D0" w:rsidRDefault="006348D0" w:rsidP="006348D0">
      <w:pPr>
        <w:numPr>
          <w:ilvl w:val="0"/>
          <w:numId w:val="1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color w:val="3D3D3D"/>
          <w:sz w:val="23"/>
          <w:szCs w:val="23"/>
          <w:lang w:val="cs-CZ" w:eastAsia="en-GB"/>
        </w:rPr>
        <w:t xml:space="preserve">bezriziková </w:t>
      </w:r>
      <w:proofErr w:type="gramStart"/>
      <w:r w:rsidRPr="006348D0">
        <w:rPr>
          <w:rFonts w:ascii="Arial" w:eastAsia="Times New Roman" w:hAnsi="Arial" w:cs="Arial"/>
          <w:b/>
          <w:color w:val="3D3D3D"/>
          <w:sz w:val="23"/>
          <w:szCs w:val="23"/>
          <w:lang w:val="cs-CZ" w:eastAsia="en-GB"/>
        </w:rPr>
        <w:t>sazba</w:t>
      </w:r>
      <w:r w:rsidRPr="006348D0">
        <w:rPr>
          <w:rFonts w:ascii="Arial" w:eastAsia="Times New Roman" w:hAnsi="Arial" w:cs="Arial"/>
          <w:color w:val="3D3D3D"/>
          <w:sz w:val="23"/>
          <w:szCs w:val="23"/>
          <w:lang w:val="cs-CZ" w:eastAsia="en-GB"/>
        </w:rPr>
        <w:t xml:space="preserve"> - často</w:t>
      </w:r>
      <w:proofErr w:type="gramEnd"/>
      <w:r w:rsidRPr="006348D0">
        <w:rPr>
          <w:rFonts w:ascii="Arial" w:eastAsia="Times New Roman" w:hAnsi="Arial" w:cs="Arial"/>
          <w:color w:val="3D3D3D"/>
          <w:sz w:val="23"/>
          <w:szCs w:val="23"/>
          <w:lang w:val="cs-CZ" w:eastAsia="en-GB"/>
        </w:rPr>
        <w:t xml:space="preserve"> se používá úroková sazba z vládních dluhopisů</w:t>
      </w:r>
    </w:p>
    <w:p w:rsidR="000F6A1C" w:rsidRDefault="006348D0" w:rsidP="000F6A1C">
      <w:pPr>
        <w:numPr>
          <w:ilvl w:val="0"/>
          <w:numId w:val="18"/>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color w:val="3D3D3D"/>
          <w:sz w:val="23"/>
          <w:szCs w:val="23"/>
          <w:lang w:val="cs-CZ" w:eastAsia="en-GB"/>
        </w:rPr>
        <w:t>riziková prémie</w:t>
      </w:r>
      <w:r w:rsidRPr="006348D0">
        <w:rPr>
          <w:rFonts w:ascii="Arial" w:eastAsia="Times New Roman" w:hAnsi="Arial" w:cs="Arial"/>
          <w:color w:val="3D3D3D"/>
          <w:sz w:val="23"/>
          <w:szCs w:val="23"/>
          <w:lang w:val="cs-CZ" w:eastAsia="en-GB"/>
        </w:rPr>
        <w:t xml:space="preserve"> (přirážka) - čím vyšší je riziko, tím vyšší je prémie. Riziková přirážka je za:</w:t>
      </w:r>
    </w:p>
    <w:p w:rsidR="0075361D" w:rsidRDefault="006348D0" w:rsidP="000F6A1C">
      <w:pPr>
        <w:numPr>
          <w:ilvl w:val="1"/>
          <w:numId w:val="18"/>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systematické obchodní / tržní riziko </w:t>
      </w:r>
    </w:p>
    <w:p w:rsidR="006348D0" w:rsidRPr="006348D0" w:rsidRDefault="006348D0" w:rsidP="000F6A1C">
      <w:pPr>
        <w:numPr>
          <w:ilvl w:val="1"/>
          <w:numId w:val="18"/>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finanční </w:t>
      </w:r>
      <w:proofErr w:type="gramStart"/>
      <w:r w:rsidRPr="006348D0">
        <w:rPr>
          <w:rFonts w:ascii="Arial" w:eastAsia="Times New Roman" w:hAnsi="Arial" w:cs="Arial"/>
          <w:color w:val="3D3D3D"/>
          <w:sz w:val="23"/>
          <w:szCs w:val="23"/>
          <w:lang w:val="cs-CZ" w:eastAsia="en-GB"/>
        </w:rPr>
        <w:t>riziko - riziko</w:t>
      </w:r>
      <w:proofErr w:type="gramEnd"/>
      <w:r w:rsidRPr="006348D0">
        <w:rPr>
          <w:rFonts w:ascii="Arial" w:eastAsia="Times New Roman" w:hAnsi="Arial" w:cs="Arial"/>
          <w:color w:val="3D3D3D"/>
          <w:sz w:val="23"/>
          <w:szCs w:val="23"/>
          <w:lang w:val="cs-CZ" w:eastAsia="en-GB"/>
        </w:rPr>
        <w:t xml:space="preserve"> vysokého zadlužení a s ním souvisejících rizika</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Systematické riziko</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Systematické riziko je riziko, kterému jsou vystaveny všechny firmy na trhu a které nelze</w:t>
      </w:r>
      <w:r>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diverzifikovat (tedy snížit rozmanitostí portfolia). Příkladem může být riziko změny většiny makroekonomických faktorů</w:t>
      </w:r>
      <w:r>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Systematické riziko sice</w:t>
      </w:r>
      <w:r w:rsidRPr="009A0A5C">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nejde diverzifikovat, což ale neznamená</w:t>
      </w:r>
      <w:r w:rsidRPr="006348D0">
        <w:rPr>
          <w:rFonts w:ascii="Arial" w:eastAsia="Times New Roman" w:hAnsi="Arial" w:cs="Arial"/>
          <w:color w:val="3D3D3D"/>
          <w:sz w:val="23"/>
          <w:szCs w:val="23"/>
          <w:lang w:val="cs-CZ" w:eastAsia="en-GB"/>
        </w:rPr>
        <w:t>, že jej nelze jiným způsobem redukovat – toto riziko může být například pojištěno.</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Za systematické riziko by investoři měli obdržet náhradu v podobě prémie nad úroveň bezrizikové míry (tomuto rozdílu se říká tržní riziková prémie).</w:t>
      </w: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Opakem systematického rizika je nesystematické riziko.</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Nesystematické riziko</w:t>
      </w:r>
    </w:p>
    <w:p w:rsidR="006348D0" w:rsidRPr="006348D0" w:rsidRDefault="006348D0" w:rsidP="006348D0">
      <w:pPr>
        <w:shd w:val="clear" w:color="auto" w:fill="FFFFFF"/>
        <w:spacing w:after="150" w:line="240" w:lineRule="auto"/>
        <w:jc w:val="both"/>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Nesystematické riziko je riziko, které je spojené s konkrétní uvažovanou firmou a které lze</w:t>
      </w:r>
      <w:r>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diverzifikovat, např. riziko vyplývající ze zeměpisné polohy firmy. Vzhledem k tomu, že nesystematické riziko lze diverzifikovat např. držbou správně vyváženého portfolia, rovná se celkové riziko úrovni systematického rizika, které </w:t>
      </w:r>
      <w:hyperlink r:id="rId7" w:tgtFrame="_blank" w:history="1">
        <w:r w:rsidRPr="006348D0">
          <w:rPr>
            <w:rFonts w:ascii="Arial" w:eastAsia="Times New Roman" w:hAnsi="Arial" w:cs="Arial"/>
            <w:b/>
            <w:bCs/>
            <w:color w:val="214C6D"/>
            <w:sz w:val="23"/>
            <w:szCs w:val="23"/>
            <w:lang w:val="cs-CZ" w:eastAsia="en-GB"/>
          </w:rPr>
          <w:t>diverzifikovat </w:t>
        </w:r>
      </w:hyperlink>
      <w:r w:rsidRPr="006348D0">
        <w:rPr>
          <w:rFonts w:ascii="Arial" w:eastAsia="Times New Roman" w:hAnsi="Arial" w:cs="Arial"/>
          <w:b/>
          <w:bCs/>
          <w:color w:val="214C6D"/>
          <w:sz w:val="23"/>
          <w:szCs w:val="23"/>
          <w:lang w:val="cs-CZ" w:eastAsia="en-GB"/>
        </w:rPr>
        <w:t>nelze.</w:t>
      </w:r>
    </w:p>
    <w:p w:rsidR="006348D0" w:rsidRPr="006348D0" w:rsidRDefault="006348D0" w:rsidP="009A0A5C">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Z tohoto důvodu nejsou investoři za nesystémové riziko kompenzováni v podobě přirážky nad úroveň bezrizikové míry návratnosti. Tato přirážka jim náleží pouze za systematické riziko.</w:t>
      </w:r>
    </w:p>
    <w:p w:rsidR="0075361D" w:rsidRPr="006348D0" w:rsidRDefault="0075361D" w:rsidP="0075361D">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Použité zdroje:</w:t>
      </w:r>
    </w:p>
    <w:p w:rsidR="0075361D" w:rsidRPr="006348D0" w:rsidRDefault="0075361D" w:rsidP="0075361D">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i/>
          <w:iCs/>
          <w:color w:val="3D3D3D"/>
          <w:sz w:val="23"/>
          <w:szCs w:val="23"/>
          <w:lang w:val="cs-CZ" w:eastAsia="en-GB"/>
        </w:rPr>
        <w:t>Significance</w:t>
      </w:r>
      <w:proofErr w:type="spellEnd"/>
      <w:r w:rsidRPr="006348D0">
        <w:rPr>
          <w:rFonts w:ascii="Arial" w:eastAsia="Times New Roman" w:hAnsi="Arial" w:cs="Arial"/>
          <w:i/>
          <w:iCs/>
          <w:color w:val="3D3D3D"/>
          <w:sz w:val="23"/>
          <w:szCs w:val="23"/>
          <w:lang w:val="cs-CZ" w:eastAsia="en-GB"/>
        </w:rPr>
        <w:t xml:space="preserve"> And </w:t>
      </w:r>
      <w:proofErr w:type="spellStart"/>
      <w:r w:rsidRPr="006348D0">
        <w:rPr>
          <w:rFonts w:ascii="Arial" w:eastAsia="Times New Roman" w:hAnsi="Arial" w:cs="Arial"/>
          <w:i/>
          <w:iCs/>
          <w:color w:val="3D3D3D"/>
          <w:sz w:val="23"/>
          <w:szCs w:val="23"/>
          <w:lang w:val="cs-CZ" w:eastAsia="en-GB"/>
        </w:rPr>
        <w:t>Components</w:t>
      </w:r>
      <w:proofErr w:type="spellEnd"/>
      <w:r w:rsidRPr="006348D0">
        <w:rPr>
          <w:rFonts w:ascii="Arial" w:eastAsia="Times New Roman" w:hAnsi="Arial" w:cs="Arial"/>
          <w:i/>
          <w:iCs/>
          <w:color w:val="3D3D3D"/>
          <w:sz w:val="23"/>
          <w:szCs w:val="23"/>
          <w:lang w:val="cs-CZ" w:eastAsia="en-GB"/>
        </w:rPr>
        <w:t xml:space="preserve"> Of Cost of Capital (online). Datum citování: 29.1.2016. Dostupný z www: </w:t>
      </w:r>
      <w:hyperlink r:id="rId8" w:tgtFrame="_blank" w:history="1">
        <w:r w:rsidRPr="006348D0">
          <w:rPr>
            <w:rFonts w:ascii="Arial" w:eastAsia="Times New Roman" w:hAnsi="Arial" w:cs="Arial"/>
            <w:i/>
            <w:iCs/>
            <w:color w:val="3D3D3D"/>
            <w:sz w:val="23"/>
            <w:szCs w:val="23"/>
            <w:lang w:val="cs-CZ" w:eastAsia="en-GB"/>
          </w:rPr>
          <w:t>http://accountlearning.blogspot.cz/2011/07/significance-and-components-of-cost-of.html</w:t>
        </w:r>
      </w:hyperlink>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5"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Minimální požadovaná míra návratnosti</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 xml:space="preserve">Minimální požadovaná míra návratnosti (tzv. </w:t>
      </w:r>
      <w:proofErr w:type="spellStart"/>
      <w:r w:rsidRPr="006348D0">
        <w:rPr>
          <w:rFonts w:ascii="Arial" w:eastAsia="Times New Roman" w:hAnsi="Arial" w:cs="Arial"/>
          <w:b/>
          <w:bCs/>
          <w:color w:val="214C6D"/>
          <w:sz w:val="23"/>
          <w:szCs w:val="23"/>
          <w:lang w:val="cs-CZ" w:eastAsia="en-GB"/>
        </w:rPr>
        <w:t>hurdle</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rate</w:t>
      </w:r>
      <w:proofErr w:type="spellEnd"/>
      <w:r w:rsidRPr="006348D0">
        <w:rPr>
          <w:rFonts w:ascii="Arial" w:eastAsia="Times New Roman" w:hAnsi="Arial" w:cs="Arial"/>
          <w:b/>
          <w:bCs/>
          <w:color w:val="214C6D"/>
          <w:sz w:val="23"/>
          <w:szCs w:val="23"/>
          <w:lang w:val="cs-CZ" w:eastAsia="en-GB"/>
        </w:rPr>
        <w:t>) je minimální % návratnosti, které firma chce při realizaci investičních projektů dosáhnout. Často má podobu vážených průměrných nákladů kapitálu (WACC), ale ne vždy. Minimální požadovaná míra návratnosti je často využívána jako diskontní sazba ve výpočtech DCF a % IRR uvažovaného projektu ji musí překročit.</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6"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Zdroje financování</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Firemní zdroje financování lze shrnout do následujících skupin:</w:t>
      </w:r>
    </w:p>
    <w:p w:rsidR="006348D0" w:rsidRPr="006348D0" w:rsidRDefault="006348D0" w:rsidP="006348D0">
      <w:pPr>
        <w:numPr>
          <w:ilvl w:val="0"/>
          <w:numId w:val="20"/>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interní zdroje financování</w:t>
      </w:r>
      <w:r w:rsidRPr="006348D0">
        <w:rPr>
          <w:rFonts w:ascii="Arial" w:eastAsia="Times New Roman" w:hAnsi="Arial" w:cs="Arial"/>
          <w:color w:val="3D3D3D"/>
          <w:sz w:val="23"/>
          <w:szCs w:val="23"/>
          <w:lang w:val="cs-CZ" w:eastAsia="en-GB"/>
        </w:rPr>
        <w:t> – především nerozdělený zisk</w:t>
      </w:r>
    </w:p>
    <w:p w:rsidR="006348D0" w:rsidRPr="006348D0" w:rsidRDefault="006348D0" w:rsidP="006348D0">
      <w:pPr>
        <w:numPr>
          <w:ilvl w:val="0"/>
          <w:numId w:val="20"/>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externí zdroje financování</w:t>
      </w:r>
      <w:r w:rsidRPr="006348D0">
        <w:rPr>
          <w:rFonts w:ascii="Arial" w:eastAsia="Times New Roman" w:hAnsi="Arial" w:cs="Arial"/>
          <w:color w:val="3D3D3D"/>
          <w:sz w:val="23"/>
          <w:szCs w:val="23"/>
          <w:lang w:val="cs-CZ" w:eastAsia="en-GB"/>
        </w:rPr>
        <w:t>:</w:t>
      </w:r>
    </w:p>
    <w:p w:rsidR="006348D0" w:rsidRPr="006348D0" w:rsidRDefault="006348D0" w:rsidP="00C17DFA">
      <w:pPr>
        <w:numPr>
          <w:ilvl w:val="2"/>
          <w:numId w:val="20"/>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cizí </w:t>
      </w:r>
      <w:proofErr w:type="gramStart"/>
      <w:r w:rsidRPr="006348D0">
        <w:rPr>
          <w:rFonts w:ascii="Arial" w:eastAsia="Times New Roman" w:hAnsi="Arial" w:cs="Arial"/>
          <w:color w:val="3D3D3D"/>
          <w:sz w:val="23"/>
          <w:szCs w:val="23"/>
          <w:lang w:val="cs-CZ" w:eastAsia="en-GB"/>
        </w:rPr>
        <w:t>zdroje - bankovní</w:t>
      </w:r>
      <w:proofErr w:type="gramEnd"/>
      <w:r w:rsidRPr="006348D0">
        <w:rPr>
          <w:rFonts w:ascii="Arial" w:eastAsia="Times New Roman" w:hAnsi="Arial" w:cs="Arial"/>
          <w:color w:val="3D3D3D"/>
          <w:sz w:val="23"/>
          <w:szCs w:val="23"/>
          <w:lang w:val="cs-CZ" w:eastAsia="en-GB"/>
        </w:rPr>
        <w:t xml:space="preserve"> úvěry, emitované dluhopisy, leasing</w:t>
      </w:r>
    </w:p>
    <w:p w:rsidR="006348D0" w:rsidRPr="006348D0" w:rsidRDefault="006348D0" w:rsidP="00C17DFA">
      <w:pPr>
        <w:numPr>
          <w:ilvl w:val="2"/>
          <w:numId w:val="20"/>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vlastní </w:t>
      </w:r>
      <w:proofErr w:type="gramStart"/>
      <w:r w:rsidRPr="006348D0">
        <w:rPr>
          <w:rFonts w:ascii="Arial" w:eastAsia="Times New Roman" w:hAnsi="Arial" w:cs="Arial"/>
          <w:color w:val="3D3D3D"/>
          <w:sz w:val="23"/>
          <w:szCs w:val="23"/>
          <w:lang w:val="cs-CZ" w:eastAsia="en-GB"/>
        </w:rPr>
        <w:t>zdroje - emise</w:t>
      </w:r>
      <w:proofErr w:type="gramEnd"/>
      <w:r w:rsidRPr="006348D0">
        <w:rPr>
          <w:rFonts w:ascii="Arial" w:eastAsia="Times New Roman" w:hAnsi="Arial" w:cs="Arial"/>
          <w:color w:val="3D3D3D"/>
          <w:sz w:val="23"/>
          <w:szCs w:val="23"/>
          <w:lang w:val="cs-CZ" w:eastAsia="en-GB"/>
        </w:rPr>
        <w:t xml:space="preserve"> akcií</w:t>
      </w:r>
    </w:p>
    <w:p w:rsidR="006348D0" w:rsidRPr="006348D0" w:rsidRDefault="006348D0" w:rsidP="009A0A5C">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Každý zdroj financování nese určité náklady, nazývané obecně jako náklady na kapitál (náklady kapitálu).</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7"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Náklady vlastního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vlastního kapitálu představují:</w:t>
      </w:r>
    </w:p>
    <w:p w:rsidR="006348D0" w:rsidRPr="006348D0" w:rsidRDefault="006348D0" w:rsidP="006348D0">
      <w:pPr>
        <w:numPr>
          <w:ilvl w:val="0"/>
          <w:numId w:val="21"/>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návratnost požadovanou akcionáři</w:t>
      </w:r>
    </w:p>
    <w:p w:rsidR="006348D0" w:rsidRPr="006348D0" w:rsidRDefault="006348D0" w:rsidP="006348D0">
      <w:pPr>
        <w:numPr>
          <w:ilvl w:val="0"/>
          <w:numId w:val="21"/>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složku nákladů na kapitál (WACC)</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vlastního kapitálu lze vypočítat pomocí několika metod, z nichž každá může vést k odlišnému výsledku:</w:t>
      </w:r>
    </w:p>
    <w:p w:rsidR="006348D0" w:rsidRPr="006348D0" w:rsidRDefault="006348D0" w:rsidP="009A0A5C">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proofErr w:type="gramStart"/>
      <w:r w:rsidRPr="006348D0">
        <w:rPr>
          <w:rFonts w:ascii="Arial" w:eastAsia="Times New Roman" w:hAnsi="Arial" w:cs="Arial"/>
          <w:color w:val="3D3D3D"/>
          <w:sz w:val="23"/>
          <w:szCs w:val="23"/>
          <w:lang w:val="cs-CZ" w:eastAsia="en-GB"/>
        </w:rPr>
        <w:t>CAPM - Capital</w:t>
      </w:r>
      <w:proofErr w:type="gramEnd"/>
      <w:r w:rsidRPr="006348D0">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color w:val="3D3D3D"/>
          <w:sz w:val="23"/>
          <w:szCs w:val="23"/>
          <w:lang w:val="cs-CZ" w:eastAsia="en-GB"/>
        </w:rPr>
        <w:t>Asset</w:t>
      </w:r>
      <w:proofErr w:type="spellEnd"/>
      <w:r w:rsidRPr="006348D0">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color w:val="3D3D3D"/>
          <w:sz w:val="23"/>
          <w:szCs w:val="23"/>
          <w:lang w:val="cs-CZ" w:eastAsia="en-GB"/>
        </w:rPr>
        <w:t>Pricing</w:t>
      </w:r>
      <w:proofErr w:type="spellEnd"/>
      <w:r w:rsidRPr="006348D0">
        <w:rPr>
          <w:rFonts w:ascii="Arial" w:eastAsia="Times New Roman" w:hAnsi="Arial" w:cs="Arial"/>
          <w:color w:val="3D3D3D"/>
          <w:sz w:val="23"/>
          <w:szCs w:val="23"/>
          <w:lang w:val="cs-CZ" w:eastAsia="en-GB"/>
        </w:rPr>
        <w:t xml:space="preserve"> Model</w:t>
      </w:r>
    </w:p>
    <w:p w:rsidR="006348D0" w:rsidRPr="006348D0" w:rsidRDefault="006348D0" w:rsidP="009A0A5C">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proofErr w:type="spellStart"/>
      <w:r w:rsidRPr="006348D0">
        <w:rPr>
          <w:rFonts w:ascii="Arial" w:eastAsia="Times New Roman" w:hAnsi="Arial" w:cs="Arial"/>
          <w:color w:val="3D3D3D"/>
          <w:sz w:val="23"/>
          <w:szCs w:val="23"/>
          <w:lang w:val="cs-CZ" w:eastAsia="en-GB"/>
        </w:rPr>
        <w:t>Gordonův</w:t>
      </w:r>
      <w:proofErr w:type="spellEnd"/>
      <w:r w:rsidRPr="006348D0">
        <w:rPr>
          <w:rFonts w:ascii="Arial" w:eastAsia="Times New Roman" w:hAnsi="Arial" w:cs="Arial"/>
          <w:color w:val="3D3D3D"/>
          <w:sz w:val="23"/>
          <w:szCs w:val="23"/>
          <w:lang w:val="cs-CZ" w:eastAsia="en-GB"/>
        </w:rPr>
        <w:t xml:space="preserve"> růstový model (Dividendový diskontní model)</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8"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Model CAPM / Capital </w:t>
      </w:r>
      <w:proofErr w:type="spellStart"/>
      <w:r w:rsidRPr="006348D0">
        <w:rPr>
          <w:rFonts w:ascii="Arial" w:eastAsia="Times New Roman" w:hAnsi="Arial" w:cs="Arial"/>
          <w:b/>
          <w:bCs/>
          <w:color w:val="214C6D"/>
          <w:sz w:val="27"/>
          <w:szCs w:val="27"/>
          <w:lang w:val="cs-CZ" w:eastAsia="en-GB"/>
        </w:rPr>
        <w:t>Asset</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Pricing</w:t>
      </w:r>
      <w:proofErr w:type="spellEnd"/>
      <w:r w:rsidRPr="006348D0">
        <w:rPr>
          <w:rFonts w:ascii="Arial" w:eastAsia="Times New Roman" w:hAnsi="Arial" w:cs="Arial"/>
          <w:b/>
          <w:bCs/>
          <w:color w:val="214C6D"/>
          <w:sz w:val="27"/>
          <w:szCs w:val="27"/>
          <w:lang w:val="cs-CZ" w:eastAsia="en-GB"/>
        </w:rPr>
        <w:t xml:space="preserve"> Model (CAPM) / Model oceňování kapitálových aktiv</w:t>
      </w:r>
    </w:p>
    <w:p w:rsidR="006348D0" w:rsidRPr="006348D0" w:rsidRDefault="006348D0" w:rsidP="009A0A5C">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 xml:space="preserve">Model CAPM (Capital </w:t>
      </w:r>
      <w:proofErr w:type="spellStart"/>
      <w:r w:rsidRPr="006348D0">
        <w:rPr>
          <w:rFonts w:ascii="Arial" w:eastAsia="Times New Roman" w:hAnsi="Arial" w:cs="Arial"/>
          <w:b/>
          <w:bCs/>
          <w:color w:val="214C6D"/>
          <w:sz w:val="23"/>
          <w:szCs w:val="23"/>
          <w:lang w:val="cs-CZ" w:eastAsia="en-GB"/>
        </w:rPr>
        <w:t>Asset</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Pricing</w:t>
      </w:r>
      <w:proofErr w:type="spellEnd"/>
      <w:r w:rsidRPr="006348D0">
        <w:rPr>
          <w:rFonts w:ascii="Arial" w:eastAsia="Times New Roman" w:hAnsi="Arial" w:cs="Arial"/>
          <w:b/>
          <w:bCs/>
          <w:color w:val="214C6D"/>
          <w:sz w:val="23"/>
          <w:szCs w:val="23"/>
          <w:lang w:val="cs-CZ" w:eastAsia="en-GB"/>
        </w:rPr>
        <w:t xml:space="preserve"> </w:t>
      </w:r>
      <w:proofErr w:type="gramStart"/>
      <w:r w:rsidRPr="006348D0">
        <w:rPr>
          <w:rFonts w:ascii="Arial" w:eastAsia="Times New Roman" w:hAnsi="Arial" w:cs="Arial"/>
          <w:b/>
          <w:bCs/>
          <w:color w:val="214C6D"/>
          <w:sz w:val="23"/>
          <w:szCs w:val="23"/>
          <w:lang w:val="cs-CZ" w:eastAsia="en-GB"/>
        </w:rPr>
        <w:t>Model - CAPM</w:t>
      </w:r>
      <w:proofErr w:type="gramEnd"/>
      <w:r w:rsidRPr="006348D0">
        <w:rPr>
          <w:rFonts w:ascii="Arial" w:eastAsia="Times New Roman" w:hAnsi="Arial" w:cs="Arial"/>
          <w:b/>
          <w:bCs/>
          <w:color w:val="214C6D"/>
          <w:sz w:val="23"/>
          <w:szCs w:val="23"/>
          <w:lang w:val="cs-CZ" w:eastAsia="en-GB"/>
        </w:rPr>
        <w:t>) neboli model oceňování kapitálových aktiv je používaný při výpočtu očekávané míry návratnosti cenných papírů. Zároveň se používá pro výpočet nákladů akciového kapitálu. Model CAPM lze graficky znázornit pomocí Přímky trhu cenných papírů (</w:t>
      </w:r>
      <w:proofErr w:type="spellStart"/>
      <w:r w:rsidRPr="006348D0">
        <w:rPr>
          <w:rFonts w:ascii="Arial" w:eastAsia="Times New Roman" w:hAnsi="Arial" w:cs="Arial"/>
          <w:b/>
          <w:bCs/>
          <w:color w:val="214C6D"/>
          <w:sz w:val="23"/>
          <w:szCs w:val="23"/>
          <w:lang w:val="cs-CZ" w:eastAsia="en-GB"/>
        </w:rPr>
        <w:t>Security</w:t>
      </w:r>
      <w:proofErr w:type="spellEnd"/>
      <w:r w:rsidRPr="006348D0">
        <w:rPr>
          <w:rFonts w:ascii="Arial" w:eastAsia="Times New Roman" w:hAnsi="Arial" w:cs="Arial"/>
          <w:b/>
          <w:bCs/>
          <w:color w:val="214C6D"/>
          <w:sz w:val="23"/>
          <w:szCs w:val="23"/>
          <w:lang w:val="cs-CZ" w:eastAsia="en-GB"/>
        </w:rPr>
        <w:t xml:space="preserve"> market line – SML).</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i/>
          <w:iCs/>
          <w:color w:val="214C6D"/>
          <w:sz w:val="27"/>
          <w:szCs w:val="27"/>
          <w:lang w:val="cs-CZ" w:eastAsia="en-GB"/>
        </w:rPr>
        <w:t>Vzorec pro CAPM:</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bezriziková míra + β * tržní riziková prémie</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kde</w:t>
      </w:r>
      <w:r w:rsidRPr="006348D0">
        <w:rPr>
          <w:rFonts w:ascii="Arial" w:eastAsia="Times New Roman" w:hAnsi="Arial" w:cs="Arial"/>
          <w:b/>
          <w:bCs/>
          <w:color w:val="214C6D"/>
          <w:sz w:val="23"/>
          <w:szCs w:val="23"/>
          <w:lang w:val="cs-CZ" w:eastAsia="en-GB"/>
        </w:rPr>
        <w:t>:</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i/>
          <w:iCs/>
          <w:color w:val="3D3D3D"/>
          <w:sz w:val="23"/>
          <w:szCs w:val="23"/>
          <w:lang w:val="cs-CZ" w:eastAsia="en-GB"/>
        </w:rPr>
        <w:t>tržní riziková prémie či tržní riziková přirážka</w:t>
      </w:r>
      <w:r w:rsidRPr="006348D0">
        <w:rPr>
          <w:rFonts w:ascii="Arial" w:eastAsia="Times New Roman" w:hAnsi="Arial" w:cs="Arial"/>
          <w:color w:val="3D3D3D"/>
          <w:sz w:val="23"/>
          <w:szCs w:val="23"/>
          <w:lang w:val="cs-CZ" w:eastAsia="en-GB"/>
        </w:rPr>
        <w:t> (P) = (očekávaná tržní výnosnost – bezriziková míra) → výnosnost celého trhu nebo segmentu trhu nad úroveň bezrizikové míry</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i/>
          <w:iCs/>
          <w:color w:val="3D3D3D"/>
          <w:sz w:val="23"/>
          <w:szCs w:val="23"/>
          <w:lang w:val="cs-CZ" w:eastAsia="en-GB"/>
        </w:rPr>
        <w:t>bezriziková míra</w:t>
      </w:r>
      <w:r w:rsidRPr="006348D0">
        <w:rPr>
          <w:rFonts w:ascii="Arial" w:eastAsia="Times New Roman" w:hAnsi="Arial" w:cs="Arial"/>
          <w:color w:val="3D3D3D"/>
          <w:sz w:val="23"/>
          <w:szCs w:val="23"/>
          <w:lang w:val="cs-CZ" w:eastAsia="en-GB"/>
        </w:rPr>
        <w:t>: nejčastěji výnos ze státních dluhopisů</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i/>
          <w:color w:val="3D3D3D"/>
          <w:sz w:val="23"/>
          <w:szCs w:val="23"/>
          <w:lang w:val="cs-CZ" w:eastAsia="en-GB"/>
        </w:rPr>
        <w:t>koeficient β</w:t>
      </w:r>
      <w:r w:rsidRPr="006348D0">
        <w:rPr>
          <w:rFonts w:ascii="Arial" w:eastAsia="Times New Roman" w:hAnsi="Arial" w:cs="Arial"/>
          <w:color w:val="3D3D3D"/>
          <w:sz w:val="23"/>
          <w:szCs w:val="23"/>
          <w:lang w:val="cs-CZ" w:eastAsia="en-GB"/>
        </w:rPr>
        <w:t>: poměr systematického rizika konkrétní firmy ve srovnání s tržním rizikem:</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β &gt; 1 → konkrétní akcie je rizikovější (více volatilní) než akcie na trhu (např. cena firemních akcií roste rychleji než průměrná akcie na daném tržním segmentu)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 β &lt; 1 → konkrétní akcie je méně riziková (volatilní) než akcie na trhu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Nevýhody CAPM</w:t>
      </w:r>
    </w:p>
    <w:p w:rsidR="006348D0" w:rsidRPr="006348D0" w:rsidRDefault="006348D0" w:rsidP="006348D0">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CAPM předpokládá, že je mezi systematickým rizikem a očekávaným výnosem lineární vztah</w:t>
      </w:r>
    </w:p>
    <w:p w:rsidR="006348D0" w:rsidRPr="006348D0" w:rsidRDefault="006348D0" w:rsidP="006348D0">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bezriziková míra rovněž závisí na délce splatnosti</w:t>
      </w:r>
    </w:p>
    <w:p w:rsidR="006348D0" w:rsidRPr="006348D0" w:rsidRDefault="006348D0" w:rsidP="006348D0">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všechny proměnné obsažené v modelu v průběhu času zastarávají</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9A0A5C">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Použité zdroje:</w:t>
      </w:r>
      <w:r>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Definition</w:t>
      </w:r>
      <w:proofErr w:type="spellEnd"/>
      <w:r w:rsidRPr="006348D0">
        <w:rPr>
          <w:rFonts w:ascii="Arial" w:eastAsia="Times New Roman" w:hAnsi="Arial" w:cs="Arial"/>
          <w:i/>
          <w:iCs/>
          <w:color w:val="3D3D3D"/>
          <w:sz w:val="23"/>
          <w:szCs w:val="23"/>
          <w:lang w:val="cs-CZ" w:eastAsia="en-GB"/>
        </w:rPr>
        <w:t xml:space="preserve"> of „</w:t>
      </w:r>
      <w:proofErr w:type="spellStart"/>
      <w:r w:rsidRPr="006348D0">
        <w:rPr>
          <w:rFonts w:ascii="Arial" w:eastAsia="Times New Roman" w:hAnsi="Arial" w:cs="Arial"/>
          <w:i/>
          <w:iCs/>
          <w:color w:val="3D3D3D"/>
          <w:sz w:val="23"/>
          <w:szCs w:val="23"/>
          <w:lang w:val="cs-CZ" w:eastAsia="en-GB"/>
        </w:rPr>
        <w:t>Systematic</w:t>
      </w:r>
      <w:proofErr w:type="spellEnd"/>
      <w:r w:rsidRPr="006348D0">
        <w:rPr>
          <w:rFonts w:ascii="Arial" w:eastAsia="Times New Roman" w:hAnsi="Arial" w:cs="Arial"/>
          <w:i/>
          <w:iCs/>
          <w:color w:val="3D3D3D"/>
          <w:sz w:val="23"/>
          <w:szCs w:val="23"/>
          <w:lang w:val="cs-CZ" w:eastAsia="en-GB"/>
        </w:rPr>
        <w:t xml:space="preserve"> Risk“ (online). Datum citování: 29.1.2016. Dostupný z www: http://www.investopedia.com/terms/s/systematicrisk.asp</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9"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Přímka trhu cenných papírů (</w:t>
      </w:r>
      <w:proofErr w:type="spellStart"/>
      <w:r w:rsidRPr="006348D0">
        <w:rPr>
          <w:rFonts w:ascii="Arial" w:eastAsia="Times New Roman" w:hAnsi="Arial" w:cs="Arial"/>
          <w:b/>
          <w:bCs/>
          <w:color w:val="214C6D"/>
          <w:sz w:val="27"/>
          <w:szCs w:val="27"/>
          <w:lang w:val="cs-CZ" w:eastAsia="en-GB"/>
        </w:rPr>
        <w:t>Security</w:t>
      </w:r>
      <w:proofErr w:type="spellEnd"/>
      <w:r w:rsidRPr="006348D0">
        <w:rPr>
          <w:rFonts w:ascii="Arial" w:eastAsia="Times New Roman" w:hAnsi="Arial" w:cs="Arial"/>
          <w:b/>
          <w:bCs/>
          <w:color w:val="214C6D"/>
          <w:sz w:val="27"/>
          <w:szCs w:val="27"/>
          <w:lang w:val="cs-CZ" w:eastAsia="en-GB"/>
        </w:rPr>
        <w:t xml:space="preserve"> market line – SML)</w:t>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Přímka trhu cenných papírů (</w:t>
      </w:r>
      <w:proofErr w:type="spellStart"/>
      <w:r w:rsidRPr="006348D0">
        <w:rPr>
          <w:rFonts w:ascii="Arial" w:eastAsia="Times New Roman" w:hAnsi="Arial" w:cs="Arial"/>
          <w:b/>
          <w:bCs/>
          <w:color w:val="214C6D"/>
          <w:sz w:val="23"/>
          <w:szCs w:val="23"/>
          <w:lang w:val="cs-CZ" w:eastAsia="en-GB"/>
        </w:rPr>
        <w:t>Security</w:t>
      </w:r>
      <w:proofErr w:type="spellEnd"/>
      <w:r w:rsidRPr="006348D0">
        <w:rPr>
          <w:rFonts w:ascii="Arial" w:eastAsia="Times New Roman" w:hAnsi="Arial" w:cs="Arial"/>
          <w:b/>
          <w:bCs/>
          <w:color w:val="214C6D"/>
          <w:sz w:val="23"/>
          <w:szCs w:val="23"/>
          <w:lang w:val="cs-CZ" w:eastAsia="en-GB"/>
        </w:rPr>
        <w:t xml:space="preserve"> market line – SML) ukazuje vztah mezi úrovní</w:t>
      </w:r>
      <w:r w:rsidR="00C17DFA">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systematického rizika a očekávaným výnosem. Křivka tedy zobrazuje výstupy modelu CAPM. Sklon křivky představuje koeficient </w:t>
      </w:r>
      <w:hyperlink r:id="rId9" w:tgtFrame="_blank" w:history="1">
        <w:r w:rsidRPr="006348D0">
          <w:rPr>
            <w:rFonts w:ascii="Arial" w:eastAsia="Times New Roman" w:hAnsi="Arial" w:cs="Arial"/>
            <w:b/>
            <w:bCs/>
            <w:color w:val="214C6D"/>
            <w:sz w:val="23"/>
            <w:szCs w:val="23"/>
            <w:lang w:val="cs-CZ" w:eastAsia="en-GB"/>
          </w:rPr>
          <w:t>β</w:t>
        </w:r>
      </w:hyperlink>
      <w:r w:rsidRPr="006348D0">
        <w:rPr>
          <w:rFonts w:ascii="Arial" w:eastAsia="Times New Roman" w:hAnsi="Arial" w:cs="Arial"/>
          <w:b/>
          <w:b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Přímka trhu cenných papírů (SML) zobrazuje očekávaný (= správně oceněný) výnos pro každou úroveň systematického rizika.  Výnos je tím vyšší, čím je vyšší riziko.</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noProof/>
          <w:color w:val="3D3D3D"/>
          <w:sz w:val="23"/>
          <w:szCs w:val="23"/>
          <w:lang w:val="cs-CZ" w:eastAsia="en-GB"/>
        </w:rPr>
        <w:drawing>
          <wp:inline distT="0" distB="0" distL="0" distR="0" wp14:anchorId="521013E7" wp14:editId="54CA8140">
            <wp:extent cx="3267986" cy="2052062"/>
            <wp:effectExtent l="0" t="0" r="8890" b="5715"/>
            <wp:docPr id="270" name="obrázek 270" descr="https://www.febmat.com/source/O62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febmat.com/source/O62_SM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488" cy="2065563"/>
                    </a:xfrm>
                    <a:prstGeom prst="rect">
                      <a:avLst/>
                    </a:prstGeom>
                    <a:noFill/>
                    <a:ln>
                      <a:noFill/>
                    </a:ln>
                  </pic:spPr>
                </pic:pic>
              </a:graphicData>
            </a:graphic>
          </wp:inline>
        </w:drawing>
      </w:r>
      <w:bookmarkStart w:id="0" w:name="_GoBack"/>
      <w:bookmarkEnd w:id="0"/>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Akcie nad přímkou SML jsou podhodnocené, protože pro danou úroveň systematického rizika přinášejí vyšší než očekávanou návratnost.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Akcie pod přímkou SML jsou nadhodnocené, protože pro danou úroveň </w:t>
      </w:r>
      <w:hyperlink r:id="rId11" w:tgtFrame="_blank" w:history="1">
        <w:r w:rsidRPr="006348D0">
          <w:rPr>
            <w:rFonts w:ascii="Arial" w:eastAsia="Times New Roman" w:hAnsi="Arial" w:cs="Arial"/>
            <w:color w:val="3D3D3D"/>
            <w:sz w:val="23"/>
            <w:szCs w:val="23"/>
            <w:lang w:val="cs-CZ" w:eastAsia="en-GB"/>
          </w:rPr>
          <w:t>systematického rizika</w:t>
        </w:r>
      </w:hyperlink>
      <w:r w:rsidRPr="006348D0">
        <w:rPr>
          <w:rFonts w:ascii="Arial" w:eastAsia="Times New Roman" w:hAnsi="Arial" w:cs="Arial"/>
          <w:color w:val="3D3D3D"/>
          <w:sz w:val="23"/>
          <w:szCs w:val="23"/>
          <w:lang w:val="cs-CZ" w:eastAsia="en-GB"/>
        </w:rPr>
        <w:t> přinášejí nižší než očekávanou návratnost.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Použité zdroje:</w:t>
      </w:r>
      <w:r>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Security</w:t>
      </w:r>
      <w:proofErr w:type="spellEnd"/>
      <w:r w:rsidRPr="006348D0">
        <w:rPr>
          <w:rFonts w:ascii="Arial" w:eastAsia="Times New Roman" w:hAnsi="Arial" w:cs="Arial"/>
          <w:i/>
          <w:iCs/>
          <w:color w:val="3D3D3D"/>
          <w:sz w:val="23"/>
          <w:szCs w:val="23"/>
          <w:lang w:val="cs-CZ" w:eastAsia="en-GB"/>
        </w:rPr>
        <w:t xml:space="preserve"> market line (online).  Datum citování: 2.2.2016. Dostupný z www: https://en.wikipedia.org/wiki/Security_market_line</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0" style="width:0;height:3pt" o:hralign="center" o:hrstd="t" o:hrnoshade="t" o:hr="t" fillcolor="#3d3d3d" stroked="f"/>
        </w:pict>
      </w:r>
    </w:p>
    <w:p w:rsidR="00D65BFE" w:rsidRDefault="00D65BFE"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proofErr w:type="spellStart"/>
      <w:r w:rsidRPr="006348D0">
        <w:rPr>
          <w:rFonts w:ascii="Arial" w:eastAsia="Times New Roman" w:hAnsi="Arial" w:cs="Arial"/>
          <w:b/>
          <w:bCs/>
          <w:color w:val="214C6D"/>
          <w:sz w:val="27"/>
          <w:szCs w:val="27"/>
          <w:lang w:val="cs-CZ" w:eastAsia="en-GB"/>
        </w:rPr>
        <w:lastRenderedPageBreak/>
        <w:t>Gordonův</w:t>
      </w:r>
      <w:proofErr w:type="spellEnd"/>
      <w:r w:rsidRPr="006348D0">
        <w:rPr>
          <w:rFonts w:ascii="Arial" w:eastAsia="Times New Roman" w:hAnsi="Arial" w:cs="Arial"/>
          <w:b/>
          <w:bCs/>
          <w:color w:val="214C6D"/>
          <w:sz w:val="27"/>
          <w:szCs w:val="27"/>
          <w:lang w:val="cs-CZ" w:eastAsia="en-GB"/>
        </w:rPr>
        <w:t xml:space="preserve"> růstový model (Dividendový diskontní model)</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proofErr w:type="spellStart"/>
      <w:r w:rsidRPr="006348D0">
        <w:rPr>
          <w:rFonts w:ascii="Arial" w:eastAsia="Times New Roman" w:hAnsi="Arial" w:cs="Arial"/>
          <w:b/>
          <w:bCs/>
          <w:color w:val="214C6D"/>
          <w:sz w:val="23"/>
          <w:szCs w:val="23"/>
          <w:lang w:val="cs-CZ" w:eastAsia="en-GB"/>
        </w:rPr>
        <w:t>Gordonův</w:t>
      </w:r>
      <w:proofErr w:type="spellEnd"/>
      <w:r w:rsidRPr="006348D0">
        <w:rPr>
          <w:rFonts w:ascii="Arial" w:eastAsia="Times New Roman" w:hAnsi="Arial" w:cs="Arial"/>
          <w:b/>
          <w:bCs/>
          <w:color w:val="214C6D"/>
          <w:sz w:val="23"/>
          <w:szCs w:val="23"/>
          <w:lang w:val="cs-CZ" w:eastAsia="en-GB"/>
        </w:rPr>
        <w:t xml:space="preserve"> růstový model (Dividendový diskontní model) využívá předpokládaného vztahu konstantně se zvyšující výše dividendy vyplácené </w:t>
      </w:r>
      <w:proofErr w:type="spellStart"/>
      <w:r w:rsidRPr="006348D0">
        <w:rPr>
          <w:rFonts w:ascii="Arial" w:eastAsia="Times New Roman" w:hAnsi="Arial" w:cs="Arial"/>
          <w:b/>
          <w:bCs/>
          <w:color w:val="214C6D"/>
          <w:sz w:val="23"/>
          <w:szCs w:val="23"/>
          <w:lang w:val="cs-CZ" w:eastAsia="en-GB"/>
        </w:rPr>
        <w:t>perpetuitně</w:t>
      </w:r>
      <w:proofErr w:type="spellEnd"/>
      <w:r w:rsidRPr="006348D0">
        <w:rPr>
          <w:rFonts w:ascii="Arial" w:eastAsia="Times New Roman" w:hAnsi="Arial" w:cs="Arial"/>
          <w:b/>
          <w:bCs/>
          <w:color w:val="214C6D"/>
          <w:sz w:val="23"/>
          <w:szCs w:val="23"/>
          <w:lang w:val="cs-CZ" w:eastAsia="en-GB"/>
        </w:rPr>
        <w:t xml:space="preserve"> (tedy na vždy) a ceny akcií a slouží k:</w:t>
      </w:r>
    </w:p>
    <w:p w:rsidR="006348D0" w:rsidRPr="006348D0" w:rsidRDefault="006348D0" w:rsidP="006348D0">
      <w:pPr>
        <w:numPr>
          <w:ilvl w:val="0"/>
          <w:numId w:val="24"/>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výpočtu tržní hodnoty akcie (vlastního kapitálu) = současná hodnota budoucích dividend</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P</w:t>
      </w:r>
      <w:r w:rsidRPr="006348D0">
        <w:rPr>
          <w:rFonts w:ascii="Arial" w:eastAsia="Times New Roman" w:hAnsi="Arial" w:cs="Arial"/>
          <w:b/>
          <w:bCs/>
          <w:color w:val="214C6D"/>
          <w:sz w:val="17"/>
          <w:szCs w:val="17"/>
          <w:vertAlign w:val="subscript"/>
          <w:lang w:val="cs-CZ" w:eastAsia="en-GB"/>
        </w:rPr>
        <w:t>0</w:t>
      </w:r>
      <w:r w:rsidRPr="006348D0">
        <w:rPr>
          <w:rFonts w:ascii="Arial" w:eastAsia="Times New Roman" w:hAnsi="Arial" w:cs="Arial"/>
          <w:b/>
          <w:bCs/>
          <w:color w:val="214C6D"/>
          <w:sz w:val="23"/>
          <w:szCs w:val="23"/>
          <w:lang w:val="cs-CZ" w:eastAsia="en-GB"/>
        </w:rPr>
        <w:t> = D</w:t>
      </w:r>
      <w:r w:rsidRPr="006348D0">
        <w:rPr>
          <w:rFonts w:ascii="Arial" w:eastAsia="Times New Roman" w:hAnsi="Arial" w:cs="Arial"/>
          <w:b/>
          <w:bCs/>
          <w:color w:val="214C6D"/>
          <w:sz w:val="17"/>
          <w:szCs w:val="17"/>
          <w:vertAlign w:val="subscript"/>
          <w:lang w:val="cs-CZ" w:eastAsia="en-GB"/>
        </w:rPr>
        <w:t>1</w:t>
      </w:r>
      <w:r w:rsidRPr="006348D0">
        <w:rPr>
          <w:rFonts w:ascii="Arial" w:eastAsia="Times New Roman" w:hAnsi="Arial" w:cs="Arial"/>
          <w:b/>
          <w:bCs/>
          <w:color w:val="214C6D"/>
          <w:sz w:val="23"/>
          <w:szCs w:val="23"/>
          <w:lang w:val="cs-CZ" w:eastAsia="en-GB"/>
        </w:rPr>
        <w:t> / (</w:t>
      </w:r>
      <w:proofErr w:type="gramStart"/>
      <w:r w:rsidRPr="006348D0">
        <w:rPr>
          <w:rFonts w:ascii="Arial" w:eastAsia="Times New Roman" w:hAnsi="Arial" w:cs="Arial"/>
          <w:b/>
          <w:bCs/>
          <w:color w:val="214C6D"/>
          <w:sz w:val="23"/>
          <w:szCs w:val="23"/>
          <w:lang w:val="cs-CZ" w:eastAsia="en-GB"/>
        </w:rPr>
        <w:t>K</w:t>
      </w:r>
      <w:r w:rsidRPr="006348D0">
        <w:rPr>
          <w:rFonts w:ascii="Arial" w:eastAsia="Times New Roman" w:hAnsi="Arial" w:cs="Arial"/>
          <w:b/>
          <w:bCs/>
          <w:color w:val="214C6D"/>
          <w:sz w:val="17"/>
          <w:szCs w:val="17"/>
          <w:vertAlign w:val="subscript"/>
          <w:lang w:val="cs-CZ" w:eastAsia="en-GB"/>
        </w:rPr>
        <w:t>e</w:t>
      </w:r>
      <w:r w:rsidRPr="006348D0">
        <w:rPr>
          <w:rFonts w:ascii="Arial" w:eastAsia="Times New Roman" w:hAnsi="Arial" w:cs="Arial"/>
          <w:b/>
          <w:bCs/>
          <w:color w:val="214C6D"/>
          <w:sz w:val="23"/>
          <w:szCs w:val="23"/>
          <w:lang w:val="cs-CZ" w:eastAsia="en-GB"/>
        </w:rPr>
        <w:t> - g</w:t>
      </w:r>
      <w:proofErr w:type="gramEnd"/>
      <w:r w:rsidRPr="006348D0">
        <w:rPr>
          <w:rFonts w:ascii="Arial" w:eastAsia="Times New Roman" w:hAnsi="Arial" w:cs="Arial"/>
          <w:b/>
          <w:bCs/>
          <w:color w:val="214C6D"/>
          <w:sz w:val="23"/>
          <w:szCs w:val="23"/>
          <w:lang w:val="cs-CZ" w:eastAsia="en-GB"/>
        </w:rPr>
        <w:t>)</w:t>
      </w:r>
    </w:p>
    <w:p w:rsidR="006348D0" w:rsidRPr="006348D0" w:rsidRDefault="006348D0" w:rsidP="006348D0">
      <w:pPr>
        <w:numPr>
          <w:ilvl w:val="0"/>
          <w:numId w:val="25"/>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výpočtu nákladů na vlastní kapitál (neboli požadované míry návratnosti)</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K</w:t>
      </w:r>
      <w:r w:rsidRPr="006348D0">
        <w:rPr>
          <w:rFonts w:ascii="Arial" w:eastAsia="Times New Roman" w:hAnsi="Arial" w:cs="Arial"/>
          <w:b/>
          <w:bCs/>
          <w:color w:val="214C6D"/>
          <w:sz w:val="17"/>
          <w:szCs w:val="17"/>
          <w:vertAlign w:val="subscript"/>
          <w:lang w:val="cs-CZ" w:eastAsia="en-GB"/>
        </w:rPr>
        <w:t>e</w:t>
      </w:r>
      <w:r w:rsidRPr="006348D0">
        <w:rPr>
          <w:rFonts w:ascii="Arial" w:eastAsia="Times New Roman" w:hAnsi="Arial" w:cs="Arial"/>
          <w:b/>
          <w:bCs/>
          <w:color w:val="214C6D"/>
          <w:sz w:val="23"/>
          <w:szCs w:val="23"/>
          <w:lang w:val="cs-CZ" w:eastAsia="en-GB"/>
        </w:rPr>
        <w:t> = (D</w:t>
      </w:r>
      <w:r w:rsidRPr="006348D0">
        <w:rPr>
          <w:rFonts w:ascii="Arial" w:eastAsia="Times New Roman" w:hAnsi="Arial" w:cs="Arial"/>
          <w:b/>
          <w:bCs/>
          <w:color w:val="214C6D"/>
          <w:sz w:val="17"/>
          <w:szCs w:val="17"/>
          <w:vertAlign w:val="subscript"/>
          <w:lang w:val="cs-CZ" w:eastAsia="en-GB"/>
        </w:rPr>
        <w:t>1</w:t>
      </w:r>
      <w:r w:rsidRPr="006348D0">
        <w:rPr>
          <w:rFonts w:ascii="Arial" w:eastAsia="Times New Roman" w:hAnsi="Arial" w:cs="Arial"/>
          <w:b/>
          <w:bCs/>
          <w:color w:val="214C6D"/>
          <w:sz w:val="23"/>
          <w:szCs w:val="23"/>
          <w:lang w:val="cs-CZ" w:eastAsia="en-GB"/>
        </w:rPr>
        <w:t> / P</w:t>
      </w:r>
      <w:r w:rsidRPr="006348D0">
        <w:rPr>
          <w:rFonts w:ascii="Arial" w:eastAsia="Times New Roman" w:hAnsi="Arial" w:cs="Arial"/>
          <w:b/>
          <w:bCs/>
          <w:color w:val="214C6D"/>
          <w:sz w:val="17"/>
          <w:szCs w:val="17"/>
          <w:vertAlign w:val="subscript"/>
          <w:lang w:val="cs-CZ" w:eastAsia="en-GB"/>
        </w:rPr>
        <w:t>0</w:t>
      </w:r>
      <w:r w:rsidRPr="006348D0">
        <w:rPr>
          <w:rFonts w:ascii="Arial" w:eastAsia="Times New Roman" w:hAnsi="Arial" w:cs="Arial"/>
          <w:b/>
          <w:bCs/>
          <w:color w:val="214C6D"/>
          <w:sz w:val="23"/>
          <w:szCs w:val="23"/>
          <w:lang w:val="cs-CZ" w:eastAsia="en-GB"/>
        </w:rPr>
        <w:t>) + g</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u w:val="single"/>
          <w:lang w:val="cs-CZ" w:eastAsia="en-GB"/>
        </w:rPr>
        <w:t>kdy je</w:t>
      </w:r>
      <w:r w:rsidRPr="006348D0">
        <w:rPr>
          <w:rFonts w:ascii="Arial" w:eastAsia="Times New Roman" w:hAnsi="Arial" w:cs="Arial"/>
          <w:b/>
          <w:b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K</w:t>
      </w:r>
      <w:r w:rsidRPr="006348D0">
        <w:rPr>
          <w:rFonts w:ascii="Arial" w:eastAsia="Times New Roman" w:hAnsi="Arial" w:cs="Arial"/>
          <w:color w:val="3D3D3D"/>
          <w:sz w:val="17"/>
          <w:szCs w:val="17"/>
          <w:vertAlign w:val="subscript"/>
          <w:lang w:val="cs-CZ" w:eastAsia="en-GB"/>
        </w:rPr>
        <w:t>e</w:t>
      </w:r>
      <w:r w:rsidRPr="006348D0">
        <w:rPr>
          <w:rFonts w:ascii="Arial" w:eastAsia="Times New Roman" w:hAnsi="Arial" w:cs="Arial"/>
          <w:color w:val="3D3D3D"/>
          <w:sz w:val="23"/>
          <w:szCs w:val="23"/>
          <w:lang w:val="cs-CZ" w:eastAsia="en-GB"/>
        </w:rPr>
        <w:t> = náklady vlastního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D</w:t>
      </w:r>
      <w:r w:rsidRPr="006348D0">
        <w:rPr>
          <w:rFonts w:ascii="Arial" w:eastAsia="Times New Roman" w:hAnsi="Arial" w:cs="Arial"/>
          <w:color w:val="3D3D3D"/>
          <w:sz w:val="17"/>
          <w:szCs w:val="17"/>
          <w:vertAlign w:val="subscript"/>
          <w:lang w:val="cs-CZ" w:eastAsia="en-GB"/>
        </w:rPr>
        <w:t>1</w:t>
      </w:r>
      <w:r w:rsidRPr="006348D0">
        <w:rPr>
          <w:rFonts w:ascii="Arial" w:eastAsia="Times New Roman" w:hAnsi="Arial" w:cs="Arial"/>
          <w:color w:val="3D3D3D"/>
          <w:sz w:val="23"/>
          <w:szCs w:val="23"/>
          <w:lang w:val="cs-CZ" w:eastAsia="en-GB"/>
        </w:rPr>
        <w:t> = očekávaná roční dividenda na jednu akcii v roce 1 (D</w:t>
      </w:r>
      <w:r w:rsidRPr="006348D0">
        <w:rPr>
          <w:rFonts w:ascii="Arial" w:eastAsia="Times New Roman" w:hAnsi="Arial" w:cs="Arial"/>
          <w:color w:val="3D3D3D"/>
          <w:sz w:val="17"/>
          <w:szCs w:val="17"/>
          <w:vertAlign w:val="subscript"/>
          <w:lang w:val="cs-CZ" w:eastAsia="en-GB"/>
        </w:rPr>
        <w:t>1</w:t>
      </w:r>
      <w:r w:rsidRPr="006348D0">
        <w:rPr>
          <w:rFonts w:ascii="Arial" w:eastAsia="Times New Roman" w:hAnsi="Arial" w:cs="Arial"/>
          <w:color w:val="3D3D3D"/>
          <w:sz w:val="23"/>
          <w:szCs w:val="23"/>
          <w:lang w:val="cs-CZ" w:eastAsia="en-GB"/>
        </w:rPr>
        <w:t> = D</w:t>
      </w:r>
      <w:r w:rsidRPr="006348D0">
        <w:rPr>
          <w:rFonts w:ascii="Arial" w:eastAsia="Times New Roman" w:hAnsi="Arial" w:cs="Arial"/>
          <w:color w:val="3D3D3D"/>
          <w:sz w:val="17"/>
          <w:szCs w:val="17"/>
          <w:vertAlign w:val="subscript"/>
          <w:lang w:val="cs-CZ" w:eastAsia="en-GB"/>
        </w:rPr>
        <w:t>0</w:t>
      </w:r>
      <w:r w:rsidRPr="006348D0">
        <w:rPr>
          <w:rFonts w:ascii="Arial" w:eastAsia="Times New Roman" w:hAnsi="Arial" w:cs="Arial"/>
          <w:color w:val="3D3D3D"/>
          <w:sz w:val="23"/>
          <w:szCs w:val="23"/>
          <w:lang w:val="cs-CZ" w:eastAsia="en-GB"/>
        </w:rPr>
        <w:t> * (1 + g))</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w:t>
      </w:r>
      <w:r w:rsidRPr="006348D0">
        <w:rPr>
          <w:rFonts w:ascii="Arial" w:eastAsia="Times New Roman" w:hAnsi="Arial" w:cs="Arial"/>
          <w:color w:val="3D3D3D"/>
          <w:sz w:val="17"/>
          <w:szCs w:val="17"/>
          <w:vertAlign w:val="subscript"/>
          <w:lang w:val="cs-CZ" w:eastAsia="en-GB"/>
        </w:rPr>
        <w:t>0</w:t>
      </w:r>
      <w:r w:rsidRPr="006348D0">
        <w:rPr>
          <w:rFonts w:ascii="Arial" w:eastAsia="Times New Roman" w:hAnsi="Arial" w:cs="Arial"/>
          <w:color w:val="3D3D3D"/>
          <w:sz w:val="23"/>
          <w:szCs w:val="23"/>
          <w:lang w:val="cs-CZ" w:eastAsia="en-GB"/>
        </w:rPr>
        <w:t> = cena akcie (tzv. cena ex-dividend) = tržní hodnota</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g = konstantní roční míra růstu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Příklad:</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 xml:space="preserve">Poslední dividenda na jednu akcii byla € 0,15; současná cena akcie je € 0,89; roční míra růstu je </w:t>
      </w:r>
      <w:proofErr w:type="gramStart"/>
      <w:r w:rsidRPr="006348D0">
        <w:rPr>
          <w:rFonts w:ascii="Arial" w:eastAsia="Times New Roman" w:hAnsi="Arial" w:cs="Arial"/>
          <w:b/>
          <w:bCs/>
          <w:i/>
          <w:iCs/>
          <w:color w:val="214C6D"/>
          <w:sz w:val="23"/>
          <w:szCs w:val="23"/>
          <w:lang w:val="cs-CZ" w:eastAsia="en-GB"/>
        </w:rPr>
        <w:t>3%</w:t>
      </w:r>
      <w:proofErr w:type="gramEnd"/>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D1 = 0,15 * (1 + 0,03) = 0,1545</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 xml:space="preserve">Ke = (0,1545 / 0,89) + 0,03 = 0,204 (= </w:t>
      </w:r>
      <w:proofErr w:type="gramStart"/>
      <w:r w:rsidRPr="006348D0">
        <w:rPr>
          <w:rFonts w:ascii="Arial" w:eastAsia="Times New Roman" w:hAnsi="Arial" w:cs="Arial"/>
          <w:b/>
          <w:bCs/>
          <w:i/>
          <w:iCs/>
          <w:color w:val="214C6D"/>
          <w:sz w:val="23"/>
          <w:szCs w:val="23"/>
          <w:lang w:val="cs-CZ" w:eastAsia="en-GB"/>
        </w:rPr>
        <w:t>20,4%</w:t>
      </w:r>
      <w:proofErr w:type="gramEnd"/>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Použité zdroje:</w:t>
      </w:r>
      <w:r>
        <w:rPr>
          <w:rFonts w:ascii="Arial" w:eastAsia="Times New Roman" w:hAnsi="Arial" w:cs="Arial"/>
          <w:color w:val="3D3D3D"/>
          <w:sz w:val="23"/>
          <w:szCs w:val="23"/>
          <w:lang w:val="cs-CZ" w:eastAsia="en-GB"/>
        </w:rPr>
        <w:t xml:space="preserve"> </w:t>
      </w:r>
      <w:r w:rsidRPr="006348D0">
        <w:rPr>
          <w:rFonts w:ascii="Arial" w:eastAsia="Times New Roman" w:hAnsi="Arial" w:cs="Arial"/>
          <w:color w:val="3D3D3D"/>
          <w:sz w:val="23"/>
          <w:szCs w:val="23"/>
          <w:lang w:val="cs-CZ" w:eastAsia="en-GB"/>
        </w:rPr>
        <w:t xml:space="preserve">Dividend </w:t>
      </w:r>
      <w:proofErr w:type="spellStart"/>
      <w:r w:rsidRPr="006348D0">
        <w:rPr>
          <w:rFonts w:ascii="Arial" w:eastAsia="Times New Roman" w:hAnsi="Arial" w:cs="Arial"/>
          <w:color w:val="3D3D3D"/>
          <w:sz w:val="23"/>
          <w:szCs w:val="23"/>
          <w:lang w:val="cs-CZ" w:eastAsia="en-GB"/>
        </w:rPr>
        <w:t>growth</w:t>
      </w:r>
      <w:proofErr w:type="spellEnd"/>
      <w:r w:rsidRPr="006348D0">
        <w:rPr>
          <w:rFonts w:ascii="Arial" w:eastAsia="Times New Roman" w:hAnsi="Arial" w:cs="Arial"/>
          <w:color w:val="3D3D3D"/>
          <w:sz w:val="23"/>
          <w:szCs w:val="23"/>
          <w:lang w:val="cs-CZ" w:eastAsia="en-GB"/>
        </w:rPr>
        <w:t xml:space="preserve"> model (online). Datum citování: 30.1.2016. Dostupný z www:  https://wiki.treasurers.org/wiki/Dividend_growth_model</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Míra růstu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Míra růstu je sazba/míra, o kterou se uvažovaná proměnná (výnosy, náklady, dividendy, investice, HDP atd.) buď ročně, nebo ve sledovaném období, zvýší. Je obvykle odvozena z historických dat a může být vypočtena pomocí celé řady metod. Žádná z těchto metod není správná ani špatná – je ale důležité vědět, že metodika může být různá a tempa růstu uváděná v různých zdrojích tak nemusí plně srovnatelná. Metody pro výpočet mohou zahrnovat:</w:t>
      </w:r>
    </w:p>
    <w:p w:rsidR="006348D0" w:rsidRP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průměrná roční míra růstu (AAGR)</w:t>
      </w:r>
    </w:p>
    <w:p w:rsidR="006348D0" w:rsidRP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lineární rychlost růstu (tj. procentní změna konečné a počáteční hodnoty)</w:t>
      </w:r>
    </w:p>
    <w:p w:rsidR="006348D0" w:rsidRP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složená roční míra růstu (CAGR)</w:t>
      </w:r>
    </w:p>
    <w:p w:rsid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proofErr w:type="spellStart"/>
      <w:r w:rsidRPr="006348D0">
        <w:rPr>
          <w:rFonts w:ascii="Arial" w:eastAsia="Times New Roman" w:hAnsi="Arial" w:cs="Arial"/>
          <w:color w:val="3D3D3D"/>
          <w:sz w:val="23"/>
          <w:szCs w:val="23"/>
          <w:lang w:val="cs-CZ" w:eastAsia="en-GB"/>
        </w:rPr>
        <w:lastRenderedPageBreak/>
        <w:t>Gordonův</w:t>
      </w:r>
      <w:proofErr w:type="spellEnd"/>
      <w:r w:rsidRPr="006348D0">
        <w:rPr>
          <w:rFonts w:ascii="Arial" w:eastAsia="Times New Roman" w:hAnsi="Arial" w:cs="Arial"/>
          <w:color w:val="3D3D3D"/>
          <w:sz w:val="23"/>
          <w:szCs w:val="23"/>
          <w:lang w:val="cs-CZ" w:eastAsia="en-GB"/>
        </w:rPr>
        <w:t xml:space="preserve"> růstový model</w:t>
      </w:r>
    </w:p>
    <w:p w:rsidR="006348D0" w:rsidRPr="006348D0" w:rsidRDefault="006348D0" w:rsidP="006348D0">
      <w:pPr>
        <w:shd w:val="clear" w:color="auto" w:fill="FFFFFF"/>
        <w:spacing w:before="100" w:beforeAutospacing="1" w:after="100" w:afterAutospacing="1" w:line="360" w:lineRule="atLeast"/>
        <w:jc w:val="both"/>
        <w:rPr>
          <w:rFonts w:ascii="Arial" w:eastAsia="Times New Roman" w:hAnsi="Arial" w:cs="Arial"/>
          <w:color w:val="3D3D3D"/>
          <w:sz w:val="23"/>
          <w:szCs w:val="23"/>
          <w:lang w:val="cs-CZ" w:eastAsia="en-GB"/>
        </w:rPr>
      </w:pP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Náklady cizího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cizího kapitálu představují:</w:t>
      </w:r>
    </w:p>
    <w:p w:rsidR="006348D0" w:rsidRPr="006348D0" w:rsidRDefault="006348D0" w:rsidP="006348D0">
      <w:pPr>
        <w:numPr>
          <w:ilvl w:val="0"/>
          <w:numId w:val="2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výnosnost vyžadovanou finančními institucemi (věřiteli)</w:t>
      </w:r>
    </w:p>
    <w:p w:rsidR="006348D0" w:rsidRPr="006348D0" w:rsidRDefault="006348D0" w:rsidP="006348D0">
      <w:pPr>
        <w:numPr>
          <w:ilvl w:val="0"/>
          <w:numId w:val="2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složku celkových nákladů na kapitál (WACC)</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Zjednodušeně řečeno, náklady na cizí kapitál jsou úroky ponížené o daňový efekt vyplývající z těchto nákladů.</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Míra nákladů na cizí kapitál se počítá samostatně pro každý typ cizího kapitálu:</w:t>
      </w:r>
    </w:p>
    <w:p w:rsidR="006348D0" w:rsidRPr="006348D0" w:rsidRDefault="006348D0" w:rsidP="006348D0">
      <w:pPr>
        <w:numPr>
          <w:ilvl w:val="0"/>
          <w:numId w:val="28"/>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cizí kapitál s neumořitelnou jistinou (tedy tzv. věčný dluh či dluh bez splatnosti)</w:t>
      </w:r>
    </w:p>
    <w:p w:rsidR="006348D0" w:rsidRPr="006348D0" w:rsidRDefault="006348D0" w:rsidP="006348D0">
      <w:pPr>
        <w:numPr>
          <w:ilvl w:val="0"/>
          <w:numId w:val="28"/>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cizí kapitál s umořitelnou jistinou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b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Náklady na cizí kapitál s neumořitelnou </w:t>
      </w:r>
      <w:proofErr w:type="gramStart"/>
      <w:r w:rsidRPr="006348D0">
        <w:rPr>
          <w:rFonts w:ascii="Arial" w:eastAsia="Times New Roman" w:hAnsi="Arial" w:cs="Arial"/>
          <w:b/>
          <w:bCs/>
          <w:color w:val="214C6D"/>
          <w:sz w:val="27"/>
          <w:szCs w:val="27"/>
          <w:lang w:val="cs-CZ" w:eastAsia="en-GB"/>
        </w:rPr>
        <w:t>jistinou - tedy</w:t>
      </w:r>
      <w:proofErr w:type="gramEnd"/>
      <w:r w:rsidRPr="006348D0">
        <w:rPr>
          <w:rFonts w:ascii="Arial" w:eastAsia="Times New Roman" w:hAnsi="Arial" w:cs="Arial"/>
          <w:b/>
          <w:bCs/>
          <w:color w:val="214C6D"/>
          <w:sz w:val="27"/>
          <w:szCs w:val="27"/>
          <w:lang w:val="cs-CZ" w:eastAsia="en-GB"/>
        </w:rPr>
        <w:t xml:space="preserve"> tzv. věčný dluh či dluh bez splatnosti (tzv. cost of irredeemable </w:t>
      </w:r>
      <w:proofErr w:type="spellStart"/>
      <w:r w:rsidRPr="006348D0">
        <w:rPr>
          <w:rFonts w:ascii="Arial" w:eastAsia="Times New Roman" w:hAnsi="Arial" w:cs="Arial"/>
          <w:b/>
          <w:bCs/>
          <w:color w:val="214C6D"/>
          <w:sz w:val="27"/>
          <w:szCs w:val="27"/>
          <w:lang w:val="cs-CZ" w:eastAsia="en-GB"/>
        </w:rPr>
        <w:t>debt</w:t>
      </w:r>
      <w:proofErr w:type="spellEnd"/>
      <w:r w:rsidRPr="006348D0">
        <w:rPr>
          <w:rFonts w:ascii="Arial" w:eastAsia="Times New Roman" w:hAnsi="Arial" w:cs="Arial"/>
          <w:b/>
          <w:bCs/>
          <w:color w:val="214C6D"/>
          <w:sz w:val="27"/>
          <w:szCs w:val="27"/>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b/>
          <w:bCs/>
          <w:color w:val="214C6D"/>
          <w:sz w:val="23"/>
          <w:szCs w:val="23"/>
          <w:lang w:val="cs-CZ" w:eastAsia="en-GB"/>
        </w:rPr>
        <w:t>K</w:t>
      </w:r>
      <w:r w:rsidRPr="006348D0">
        <w:rPr>
          <w:rFonts w:ascii="Arial" w:eastAsia="Times New Roman" w:hAnsi="Arial" w:cs="Arial"/>
          <w:b/>
          <w:bCs/>
          <w:color w:val="214C6D"/>
          <w:sz w:val="17"/>
          <w:szCs w:val="17"/>
          <w:vertAlign w:val="subscript"/>
          <w:lang w:val="cs-CZ" w:eastAsia="en-GB"/>
        </w:rPr>
        <w:t>d</w:t>
      </w:r>
      <w:proofErr w:type="spellEnd"/>
      <w:r w:rsidRPr="006348D0">
        <w:rPr>
          <w:rFonts w:ascii="Arial" w:eastAsia="Times New Roman" w:hAnsi="Arial" w:cs="Arial"/>
          <w:b/>
          <w:bCs/>
          <w:color w:val="214C6D"/>
          <w:sz w:val="23"/>
          <w:szCs w:val="23"/>
          <w:lang w:val="cs-CZ" w:eastAsia="en-GB"/>
        </w:rPr>
        <w:t> = (roční úrok / hodnota dluhu) * (1 - daňová sazba)</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Je-li dluh vydaný s diskontem nebo prémií (tedy ne v nominální hodnotě), jmenovatel se sníží / zvýší o částku diskontu / prémie (základ pro výpočet ročního úroku se ale nezmění!).</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Příklad č.1</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 xml:space="preserve">Podnik emituje </w:t>
      </w:r>
      <w:r w:rsidR="00D65BFE">
        <w:rPr>
          <w:rFonts w:ascii="Arial" w:eastAsia="Times New Roman" w:hAnsi="Arial" w:cs="Arial"/>
          <w:b/>
          <w:bCs/>
          <w:i/>
          <w:iCs/>
          <w:color w:val="214C6D"/>
          <w:sz w:val="23"/>
          <w:szCs w:val="23"/>
          <w:lang w:val="cs-CZ" w:eastAsia="en-GB"/>
        </w:rPr>
        <w:t xml:space="preserve">s úrokem </w:t>
      </w:r>
      <w:r w:rsidRPr="006348D0">
        <w:rPr>
          <w:rFonts w:ascii="Arial" w:eastAsia="Times New Roman" w:hAnsi="Arial" w:cs="Arial"/>
          <w:b/>
          <w:bCs/>
          <w:i/>
          <w:iCs/>
          <w:color w:val="214C6D"/>
          <w:sz w:val="23"/>
          <w:szCs w:val="23"/>
          <w:lang w:val="cs-CZ" w:eastAsia="en-GB"/>
        </w:rPr>
        <w:t>8</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 neumořiteln</w:t>
      </w:r>
      <w:r w:rsidR="00D65BFE">
        <w:rPr>
          <w:rFonts w:ascii="Arial" w:eastAsia="Times New Roman" w:hAnsi="Arial" w:cs="Arial"/>
          <w:b/>
          <w:bCs/>
          <w:i/>
          <w:iCs/>
          <w:color w:val="214C6D"/>
          <w:sz w:val="23"/>
          <w:szCs w:val="23"/>
          <w:lang w:val="cs-CZ" w:eastAsia="en-GB"/>
        </w:rPr>
        <w:t>é</w:t>
      </w:r>
      <w:r w:rsidRPr="006348D0">
        <w:rPr>
          <w:rFonts w:ascii="Arial" w:eastAsia="Times New Roman" w:hAnsi="Arial" w:cs="Arial"/>
          <w:b/>
          <w:bCs/>
          <w:i/>
          <w:iCs/>
          <w:color w:val="214C6D"/>
          <w:sz w:val="23"/>
          <w:szCs w:val="23"/>
          <w:lang w:val="cs-CZ" w:eastAsia="en-GB"/>
        </w:rPr>
        <w:t xml:space="preserve"> dluhopis</w:t>
      </w:r>
      <w:r w:rsidR="00D65BFE">
        <w:rPr>
          <w:rFonts w:ascii="Arial" w:eastAsia="Times New Roman" w:hAnsi="Arial" w:cs="Arial"/>
          <w:b/>
          <w:bCs/>
          <w:i/>
          <w:iCs/>
          <w:color w:val="214C6D"/>
          <w:sz w:val="23"/>
          <w:szCs w:val="23"/>
          <w:lang w:val="cs-CZ" w:eastAsia="en-GB"/>
        </w:rPr>
        <w:t>y</w:t>
      </w:r>
      <w:r w:rsidRPr="006348D0">
        <w:rPr>
          <w:rFonts w:ascii="Arial" w:eastAsia="Times New Roman" w:hAnsi="Arial" w:cs="Arial"/>
          <w:b/>
          <w:bCs/>
          <w:i/>
          <w:iCs/>
          <w:color w:val="214C6D"/>
          <w:sz w:val="23"/>
          <w:szCs w:val="23"/>
          <w:lang w:val="cs-CZ" w:eastAsia="en-GB"/>
        </w:rPr>
        <w:t xml:space="preserve"> v nominální hodnotě </w:t>
      </w:r>
      <w:r w:rsidR="00D65BFE">
        <w:rPr>
          <w:rFonts w:ascii="Arial" w:eastAsia="Times New Roman" w:hAnsi="Arial" w:cs="Arial"/>
          <w:b/>
          <w:bCs/>
          <w:i/>
          <w:iCs/>
          <w:color w:val="214C6D"/>
          <w:sz w:val="23"/>
          <w:szCs w:val="23"/>
          <w:lang w:val="cs-CZ" w:eastAsia="en-GB"/>
        </w:rPr>
        <w:br/>
      </w:r>
      <w:r w:rsidRPr="006348D0">
        <w:rPr>
          <w:rFonts w:ascii="Arial" w:eastAsia="Times New Roman" w:hAnsi="Arial" w:cs="Arial"/>
          <w:b/>
          <w:bCs/>
          <w:i/>
          <w:iCs/>
          <w:color w:val="214C6D"/>
          <w:sz w:val="23"/>
          <w:szCs w:val="23"/>
          <w:lang w:val="cs-CZ" w:eastAsia="en-GB"/>
        </w:rPr>
        <w:t>€</w:t>
      </w:r>
      <w:r w:rsidR="00D65BFE">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10 000.  Sazba daně je 15</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b/>
          <w:bCs/>
          <w:i/>
          <w:iCs/>
          <w:color w:val="214C6D"/>
          <w:sz w:val="23"/>
          <w:szCs w:val="23"/>
          <w:lang w:val="cs-CZ" w:eastAsia="en-GB"/>
        </w:rPr>
        <w:t>K</w:t>
      </w:r>
      <w:r w:rsidRPr="006348D0">
        <w:rPr>
          <w:rFonts w:ascii="Arial" w:eastAsia="Times New Roman" w:hAnsi="Arial" w:cs="Arial"/>
          <w:b/>
          <w:bCs/>
          <w:i/>
          <w:iCs/>
          <w:color w:val="214C6D"/>
          <w:sz w:val="17"/>
          <w:szCs w:val="17"/>
          <w:vertAlign w:val="subscript"/>
          <w:lang w:val="cs-CZ" w:eastAsia="en-GB"/>
        </w:rPr>
        <w:t>d</w:t>
      </w:r>
      <w:proofErr w:type="spellEnd"/>
      <w:r w:rsidRPr="006348D0">
        <w:rPr>
          <w:rFonts w:ascii="Arial" w:eastAsia="Times New Roman" w:hAnsi="Arial" w:cs="Arial"/>
          <w:b/>
          <w:bCs/>
          <w:i/>
          <w:iCs/>
          <w:color w:val="214C6D"/>
          <w:sz w:val="23"/>
          <w:szCs w:val="23"/>
          <w:lang w:val="cs-CZ" w:eastAsia="en-GB"/>
        </w:rPr>
        <w:t> = ((</w:t>
      </w:r>
      <w:proofErr w:type="gramStart"/>
      <w:r w:rsidRPr="006348D0">
        <w:rPr>
          <w:rFonts w:ascii="Arial" w:eastAsia="Times New Roman" w:hAnsi="Arial" w:cs="Arial"/>
          <w:b/>
          <w:bCs/>
          <w:i/>
          <w:iCs/>
          <w:color w:val="214C6D"/>
          <w:sz w:val="23"/>
          <w:szCs w:val="23"/>
          <w:lang w:val="cs-CZ" w:eastAsia="en-GB"/>
        </w:rPr>
        <w:t>8%</w:t>
      </w:r>
      <w:proofErr w:type="gramEnd"/>
      <w:r w:rsidRPr="006348D0">
        <w:rPr>
          <w:rFonts w:ascii="Arial" w:eastAsia="Times New Roman" w:hAnsi="Arial" w:cs="Arial"/>
          <w:b/>
          <w:bCs/>
          <w:i/>
          <w:iCs/>
          <w:color w:val="214C6D"/>
          <w:sz w:val="23"/>
          <w:szCs w:val="23"/>
          <w:lang w:val="cs-CZ" w:eastAsia="en-GB"/>
        </w:rPr>
        <w:t xml:space="preserve"> * 10 000) / 10 000)) * (1 – 0,15) = 0,08 * 0,85 = 0,068 (6,8%)</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Příklad č.2</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Podnik emituje</w:t>
      </w:r>
      <w:r w:rsidR="00D65BFE">
        <w:rPr>
          <w:rFonts w:ascii="Arial" w:eastAsia="Times New Roman" w:hAnsi="Arial" w:cs="Arial"/>
          <w:b/>
          <w:bCs/>
          <w:i/>
          <w:iCs/>
          <w:color w:val="214C6D"/>
          <w:sz w:val="23"/>
          <w:szCs w:val="23"/>
          <w:lang w:val="cs-CZ" w:eastAsia="en-GB"/>
        </w:rPr>
        <w:t xml:space="preserve"> s úrokem</w:t>
      </w:r>
      <w:r w:rsidRPr="006348D0">
        <w:rPr>
          <w:rFonts w:ascii="Arial" w:eastAsia="Times New Roman" w:hAnsi="Arial" w:cs="Arial"/>
          <w:b/>
          <w:bCs/>
          <w:i/>
          <w:iCs/>
          <w:color w:val="214C6D"/>
          <w:sz w:val="23"/>
          <w:szCs w:val="23"/>
          <w:lang w:val="cs-CZ" w:eastAsia="en-GB"/>
        </w:rPr>
        <w:t xml:space="preserve"> 8% neumořitelné dluhopisy v nominální hodnotě €10 000 s</w:t>
      </w:r>
      <w:r>
        <w:rPr>
          <w:rFonts w:ascii="Arial" w:eastAsia="Times New Roman" w:hAnsi="Arial" w:cs="Arial"/>
          <w:b/>
          <w:bCs/>
          <w:i/>
          <w:iCs/>
          <w:color w:val="214C6D"/>
          <w:sz w:val="23"/>
          <w:szCs w:val="23"/>
          <w:lang w:val="cs-CZ" w:eastAsia="en-GB"/>
        </w:rPr>
        <w:t> </w:t>
      </w:r>
      <w:r w:rsidRPr="006348D0">
        <w:rPr>
          <w:rFonts w:ascii="Arial" w:eastAsia="Times New Roman" w:hAnsi="Arial" w:cs="Arial"/>
          <w:b/>
          <w:bCs/>
          <w:i/>
          <w:iCs/>
          <w:color w:val="214C6D"/>
          <w:sz w:val="23"/>
          <w:szCs w:val="23"/>
          <w:lang w:val="cs-CZ" w:eastAsia="en-GB"/>
        </w:rPr>
        <w:t>5</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 prémií.  Sazba daně je 15</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b/>
          <w:bCs/>
          <w:i/>
          <w:iCs/>
          <w:color w:val="214C6D"/>
          <w:sz w:val="23"/>
          <w:szCs w:val="23"/>
          <w:lang w:val="cs-CZ" w:eastAsia="en-GB"/>
        </w:rPr>
        <w:t>K</w:t>
      </w:r>
      <w:r w:rsidRPr="006348D0">
        <w:rPr>
          <w:rFonts w:ascii="Arial" w:eastAsia="Times New Roman" w:hAnsi="Arial" w:cs="Arial"/>
          <w:b/>
          <w:bCs/>
          <w:i/>
          <w:iCs/>
          <w:color w:val="214C6D"/>
          <w:sz w:val="17"/>
          <w:szCs w:val="17"/>
          <w:vertAlign w:val="subscript"/>
          <w:lang w:val="cs-CZ" w:eastAsia="en-GB"/>
        </w:rPr>
        <w:t>d</w:t>
      </w:r>
      <w:proofErr w:type="spellEnd"/>
      <w:r w:rsidRPr="006348D0">
        <w:rPr>
          <w:rFonts w:ascii="Arial" w:eastAsia="Times New Roman" w:hAnsi="Arial" w:cs="Arial"/>
          <w:b/>
          <w:bCs/>
          <w:i/>
          <w:iCs/>
          <w:color w:val="214C6D"/>
          <w:sz w:val="23"/>
          <w:szCs w:val="23"/>
          <w:lang w:val="cs-CZ" w:eastAsia="en-GB"/>
        </w:rPr>
        <w:t> = ((</w:t>
      </w:r>
      <w:proofErr w:type="gramStart"/>
      <w:r w:rsidRPr="006348D0">
        <w:rPr>
          <w:rFonts w:ascii="Arial" w:eastAsia="Times New Roman" w:hAnsi="Arial" w:cs="Arial"/>
          <w:b/>
          <w:bCs/>
          <w:i/>
          <w:iCs/>
          <w:color w:val="214C6D"/>
          <w:sz w:val="23"/>
          <w:szCs w:val="23"/>
          <w:lang w:val="cs-CZ" w:eastAsia="en-GB"/>
        </w:rPr>
        <w:t>8%</w:t>
      </w:r>
      <w:proofErr w:type="gramEnd"/>
      <w:r w:rsidRPr="006348D0">
        <w:rPr>
          <w:rFonts w:ascii="Arial" w:eastAsia="Times New Roman" w:hAnsi="Arial" w:cs="Arial"/>
          <w:b/>
          <w:bCs/>
          <w:i/>
          <w:iCs/>
          <w:color w:val="214C6D"/>
          <w:sz w:val="23"/>
          <w:szCs w:val="23"/>
          <w:lang w:val="cs-CZ" w:eastAsia="en-GB"/>
        </w:rPr>
        <w:t xml:space="preserve"> * 10 000) / (10 000*1,05)) * (1 – 0,15) = 0,07619 * 0,85 = 0,065 (6,5%)</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Náklady na cizí kapitál s umořitelnou </w:t>
      </w:r>
      <w:proofErr w:type="gramStart"/>
      <w:r w:rsidRPr="006348D0">
        <w:rPr>
          <w:rFonts w:ascii="Arial" w:eastAsia="Times New Roman" w:hAnsi="Arial" w:cs="Arial"/>
          <w:b/>
          <w:bCs/>
          <w:color w:val="214C6D"/>
          <w:sz w:val="27"/>
          <w:szCs w:val="27"/>
          <w:lang w:val="cs-CZ" w:eastAsia="en-GB"/>
        </w:rPr>
        <w:t>jistinou - tedy</w:t>
      </w:r>
      <w:proofErr w:type="gramEnd"/>
      <w:r w:rsidRPr="006348D0">
        <w:rPr>
          <w:rFonts w:ascii="Arial" w:eastAsia="Times New Roman" w:hAnsi="Arial" w:cs="Arial"/>
          <w:b/>
          <w:bCs/>
          <w:color w:val="214C6D"/>
          <w:sz w:val="27"/>
          <w:szCs w:val="27"/>
          <w:lang w:val="cs-CZ" w:eastAsia="en-GB"/>
        </w:rPr>
        <w:t xml:space="preserve"> na dluh, který bude splacen během určitého časového období (tzv. cost of </w:t>
      </w:r>
      <w:proofErr w:type="spellStart"/>
      <w:r w:rsidRPr="006348D0">
        <w:rPr>
          <w:rFonts w:ascii="Arial" w:eastAsia="Times New Roman" w:hAnsi="Arial" w:cs="Arial"/>
          <w:b/>
          <w:bCs/>
          <w:color w:val="214C6D"/>
          <w:sz w:val="27"/>
          <w:szCs w:val="27"/>
          <w:lang w:val="cs-CZ" w:eastAsia="en-GB"/>
        </w:rPr>
        <w:t>redeemable</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debt</w:t>
      </w:r>
      <w:proofErr w:type="spellEnd"/>
      <w:r w:rsidRPr="006348D0">
        <w:rPr>
          <w:rFonts w:ascii="Arial" w:eastAsia="Times New Roman" w:hAnsi="Arial" w:cs="Arial"/>
          <w:b/>
          <w:bCs/>
          <w:color w:val="214C6D"/>
          <w:sz w:val="27"/>
          <w:szCs w:val="27"/>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Náklady na cizí kapitál s umořitelnou jistinou </w:t>
      </w:r>
      <w:r w:rsidRPr="006348D0">
        <w:rPr>
          <w:rFonts w:ascii="Arial" w:eastAsia="Times New Roman" w:hAnsi="Arial" w:cs="Arial"/>
          <w:b/>
          <w:bCs/>
          <w:color w:val="214C6D"/>
          <w:sz w:val="23"/>
          <w:szCs w:val="23"/>
          <w:lang w:val="cs-CZ" w:eastAsia="en-GB"/>
        </w:rPr>
        <w:t>se počítají stejným způsobem jako vnitřní výnosové procento (IRR)</w:t>
      </w:r>
      <w:r w:rsidRPr="006348D0">
        <w:rPr>
          <w:rFonts w:ascii="Arial" w:eastAsia="Times New Roman" w:hAnsi="Arial" w:cs="Arial"/>
          <w:color w:val="3D3D3D"/>
          <w:sz w:val="23"/>
          <w:szCs w:val="23"/>
          <w:lang w:val="cs-CZ" w:eastAsia="en-GB"/>
        </w:rPr>
        <w:t>. Je proto zapotřebí připravit příslušné peněžní toky za každý rok (nebo jiné období) a tyto peněžní toky diskontovat na současnou hodnotu.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Vzorec pro výpočet je stejný jako u IRR a příslušné peněžní toky zahrnují:</w:t>
      </w:r>
    </w:p>
    <w:p w:rsidR="006348D0" w:rsidRPr="006348D0" w:rsidRDefault="006348D0" w:rsidP="006348D0">
      <w:pPr>
        <w:numPr>
          <w:ilvl w:val="0"/>
          <w:numId w:val="2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tržní hodnotu emitovaného dluhu (instrumentu)</w:t>
      </w:r>
    </w:p>
    <w:p w:rsidR="006348D0" w:rsidRPr="006348D0" w:rsidRDefault="006348D0" w:rsidP="006348D0">
      <w:pPr>
        <w:numPr>
          <w:ilvl w:val="0"/>
          <w:numId w:val="2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splátky jistiny a platbu úroků</w:t>
      </w:r>
    </w:p>
    <w:p w:rsidR="006348D0" w:rsidRPr="006348D0" w:rsidRDefault="006348D0" w:rsidP="006348D0">
      <w:pPr>
        <w:numPr>
          <w:ilvl w:val="0"/>
          <w:numId w:val="2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případně i transakční náklady</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1"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Náklady nerozděleného zisku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 xml:space="preserve">Nerozdělený zisk je zisk, který nebyl vyplacen akcionářům. I tak ale rozhodně není zadarmo! Jedná se vlastně o peníze, které by mohly být vyplaceny jako dividenda, ale </w:t>
      </w:r>
      <w:proofErr w:type="gramStart"/>
      <w:r w:rsidRPr="006348D0">
        <w:rPr>
          <w:rFonts w:ascii="Arial" w:eastAsia="Times New Roman" w:hAnsi="Arial" w:cs="Arial"/>
          <w:b/>
          <w:bCs/>
          <w:color w:val="214C6D"/>
          <w:sz w:val="23"/>
          <w:szCs w:val="23"/>
          <w:lang w:val="cs-CZ" w:eastAsia="en-GB"/>
        </w:rPr>
        <w:t>nebyly - pravděpodobně</w:t>
      </w:r>
      <w:proofErr w:type="gramEnd"/>
      <w:r w:rsidRPr="006348D0">
        <w:rPr>
          <w:rFonts w:ascii="Arial" w:eastAsia="Times New Roman" w:hAnsi="Arial" w:cs="Arial"/>
          <w:b/>
          <w:bCs/>
          <w:color w:val="214C6D"/>
          <w:sz w:val="23"/>
          <w:szCs w:val="23"/>
          <w:lang w:val="cs-CZ" w:eastAsia="en-GB"/>
        </w:rPr>
        <w:t xml:space="preserve"> proto, že akcionáři věří, že je podnik schopen dosáhnout lepší návratnosti investic než by byli schopni oni samotní.  To je důvodem toho, proč jsou v tomto případě za oportunitní náklady považovány náklady na vlastní (akciový) kapitál a nerozdělený zisk by měl být oceněn alespoň touto sazbou (nebo sazbou o něco nižší, vzhledem k dani z příjmů placené akcionáři v případě vyplacených dividend a transakčních poplatků spojených s touto výplatou).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Vzorec</w:t>
      </w:r>
    </w:p>
    <w:p w:rsidR="006348D0" w:rsidRPr="006348D0" w:rsidRDefault="006348D0" w:rsidP="006348D0">
      <w:pPr>
        <w:shd w:val="clear" w:color="auto" w:fill="FFFFFF"/>
        <w:spacing w:before="330" w:after="300" w:line="330" w:lineRule="atLeast"/>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vlastního kapitálu * (1 - daňová sazba) * (1 - sazba transakčních nákladů)</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2"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Vážené průměrné náklady kapitálu (WACC)</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Vážené průměrné náklady kapitálu (WACC) představují smíšenou sazbu nákladů všech možných zdrojů financování, které firma využívá (akcie, dluhopisy, přednostní akcie, nerozdělený zisk, ...). Sazba je vypočítána jako suma sazeb nákladů každého druhu kapitálu, které jsou váženy svým zastoupením na celkové výši kapitálu.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WACC představuje minimální výnos, kterého by měl investiční projekt dosáhnout. Je proto často používán jako diskontní sazba ve výpočtech DCF a jako tzv. </w:t>
      </w:r>
      <w:proofErr w:type="spellStart"/>
      <w:r w:rsidRPr="006348D0">
        <w:rPr>
          <w:rFonts w:ascii="Arial" w:eastAsia="Times New Roman" w:hAnsi="Arial" w:cs="Arial"/>
          <w:b/>
          <w:bCs/>
          <w:color w:val="214C6D"/>
          <w:sz w:val="23"/>
          <w:szCs w:val="23"/>
          <w:lang w:val="cs-CZ" w:eastAsia="en-GB"/>
        </w:rPr>
        <w:t>hurdle</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rate</w:t>
      </w:r>
      <w:proofErr w:type="spellEnd"/>
      <w:r w:rsidRPr="006348D0">
        <w:rPr>
          <w:rFonts w:ascii="Arial" w:eastAsia="Times New Roman" w:hAnsi="Arial" w:cs="Arial"/>
          <w:b/>
          <w:bCs/>
          <w:color w:val="214C6D"/>
          <w:sz w:val="23"/>
          <w:szCs w:val="23"/>
          <w:lang w:val="cs-CZ" w:eastAsia="en-GB"/>
        </w:rPr>
        <w:t>.</w:t>
      </w:r>
    </w:p>
    <w:p w:rsidR="006348D0" w:rsidRPr="006348D0" w:rsidRDefault="006348D0" w:rsidP="000805E3">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Vzorec</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noProof/>
          <w:color w:val="3D3D3D"/>
          <w:sz w:val="23"/>
          <w:szCs w:val="23"/>
          <w:lang w:val="cs-CZ" w:eastAsia="en-GB"/>
        </w:rPr>
        <w:lastRenderedPageBreak/>
        <w:drawing>
          <wp:inline distT="0" distB="0" distL="0" distR="0" wp14:anchorId="4AD36413" wp14:editId="08C8B823">
            <wp:extent cx="5819775" cy="1213485"/>
            <wp:effectExtent l="0" t="0" r="9525" b="5715"/>
            <wp:docPr id="278" name="obrázek 278" descr="https://www.febmat.com/source/O69_W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ww.febmat.com/source/O69_WA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1213485"/>
                    </a:xfrm>
                    <a:prstGeom prst="rect">
                      <a:avLst/>
                    </a:prstGeom>
                    <a:noFill/>
                    <a:ln>
                      <a:noFill/>
                    </a:ln>
                  </pic:spPr>
                </pic:pic>
              </a:graphicData>
            </a:graphic>
          </wp:inline>
        </w:drawing>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Ke = náklady na vlastní kapitál</w:t>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proofErr w:type="spellStart"/>
      <w:r w:rsidRPr="006348D0">
        <w:rPr>
          <w:rFonts w:ascii="Arial" w:eastAsia="Times New Roman" w:hAnsi="Arial" w:cs="Arial"/>
          <w:b/>
          <w:bCs/>
          <w:color w:val="214C6D"/>
          <w:sz w:val="23"/>
          <w:szCs w:val="23"/>
          <w:lang w:val="cs-CZ" w:eastAsia="en-GB"/>
        </w:rPr>
        <w:t>Kd</w:t>
      </w:r>
      <w:proofErr w:type="spellEnd"/>
      <w:r w:rsidRPr="006348D0">
        <w:rPr>
          <w:rFonts w:ascii="Arial" w:eastAsia="Times New Roman" w:hAnsi="Arial" w:cs="Arial"/>
          <w:b/>
          <w:bCs/>
          <w:color w:val="214C6D"/>
          <w:sz w:val="23"/>
          <w:szCs w:val="23"/>
          <w:lang w:val="cs-CZ" w:eastAsia="en-GB"/>
        </w:rPr>
        <w:t> = náklady na cizí kapitál</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Hodnota vlastního a cizího kapitálu vzorci mohou být buď tržní, nebo účetní hodnoty.  Tržní hodnoty jsou samozřejmě preferovány, protože lépe odrážejí realitu. Jsou ale také obtížněji dostupné.</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jc w:val="both"/>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Hlavním problémem využití </w:t>
      </w:r>
      <w:proofErr w:type="spellStart"/>
      <w:r w:rsidRPr="006348D0">
        <w:rPr>
          <w:rFonts w:ascii="Arial" w:eastAsia="Times New Roman" w:hAnsi="Arial" w:cs="Arial"/>
          <w:b/>
          <w:bCs/>
          <w:color w:val="214C6D"/>
          <w:sz w:val="27"/>
          <w:szCs w:val="27"/>
          <w:lang w:val="cs-CZ" w:eastAsia="en-GB"/>
        </w:rPr>
        <w:t>WACCu</w:t>
      </w:r>
      <w:proofErr w:type="spellEnd"/>
      <w:r w:rsidRPr="006348D0">
        <w:rPr>
          <w:rFonts w:ascii="Arial" w:eastAsia="Times New Roman" w:hAnsi="Arial" w:cs="Arial"/>
          <w:b/>
          <w:bCs/>
          <w:color w:val="214C6D"/>
          <w:sz w:val="27"/>
          <w:szCs w:val="27"/>
          <w:lang w:val="cs-CZ" w:eastAsia="en-GB"/>
        </w:rPr>
        <w:t xml:space="preserve"> při hodnocení investičních projektů je jeho předpoklad, že:</w:t>
      </w:r>
    </w:p>
    <w:p w:rsidR="006348D0" w:rsidRPr="006348D0" w:rsidRDefault="006348D0" w:rsidP="006348D0">
      <w:pPr>
        <w:numPr>
          <w:ilvl w:val="0"/>
          <w:numId w:val="30"/>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investice má stejný rizikový profil jako celá firma – pokud investice nese jiné obchodní riziko, WACC může být přepočítán na rizikově upravený WACC </w:t>
      </w:r>
    </w:p>
    <w:p w:rsidR="006348D0" w:rsidRPr="006348D0" w:rsidRDefault="006348D0" w:rsidP="000805E3">
      <w:pPr>
        <w:numPr>
          <w:ilvl w:val="0"/>
          <w:numId w:val="30"/>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stávající zdroje financování (poměr i ceny cizího a vlastního kapitálu) zůstanou </w:t>
      </w:r>
      <w:proofErr w:type="gramStart"/>
      <w:r w:rsidRPr="006348D0">
        <w:rPr>
          <w:rFonts w:ascii="Arial" w:eastAsia="Times New Roman" w:hAnsi="Arial" w:cs="Arial"/>
          <w:color w:val="3D3D3D"/>
          <w:sz w:val="23"/>
          <w:szCs w:val="23"/>
          <w:lang w:val="cs-CZ" w:eastAsia="en-GB"/>
        </w:rPr>
        <w:t>zachovány - řešením</w:t>
      </w:r>
      <w:proofErr w:type="gramEnd"/>
      <w:r w:rsidRPr="006348D0">
        <w:rPr>
          <w:rFonts w:ascii="Arial" w:eastAsia="Times New Roman" w:hAnsi="Arial" w:cs="Arial"/>
          <w:color w:val="3D3D3D"/>
          <w:sz w:val="23"/>
          <w:szCs w:val="23"/>
          <w:lang w:val="cs-CZ" w:eastAsia="en-GB"/>
        </w:rPr>
        <w:t xml:space="preserve"> může být použití Mezních nákladů kapitálu (MCC) či vyhodnocení investice za použití Upravené (čisté) současné hodnoty</w:t>
      </w:r>
    </w:p>
    <w:p w:rsidR="006348D0" w:rsidRPr="006348D0" w:rsidRDefault="004B1449"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3"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Mezní (marginální) náklady kapitálu (MCC)</w:t>
      </w:r>
    </w:p>
    <w:p w:rsidR="006348D0" w:rsidRPr="006348D0" w:rsidRDefault="006348D0" w:rsidP="006348D0">
      <w:pPr>
        <w:shd w:val="clear" w:color="auto" w:fill="FFFFFF"/>
        <w:spacing w:after="150" w:line="240" w:lineRule="auto"/>
        <w:jc w:val="both"/>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Mezní (marginální) náklady kapitálu (MCC) jsou počítány na základě stejného vzorce jako WACC, ale ve srovnání s </w:t>
      </w:r>
      <w:hyperlink r:id="rId13" w:tgtFrame="_blank" w:history="1">
        <w:r w:rsidRPr="006348D0">
          <w:rPr>
            <w:rFonts w:ascii="Arial" w:eastAsia="Times New Roman" w:hAnsi="Arial" w:cs="Arial"/>
            <w:b/>
            <w:bCs/>
            <w:color w:val="214C6D"/>
            <w:sz w:val="23"/>
            <w:szCs w:val="23"/>
            <w:lang w:val="cs-CZ" w:eastAsia="en-GB"/>
          </w:rPr>
          <w:t>WACC </w:t>
        </w:r>
      </w:hyperlink>
      <w:r w:rsidRPr="006348D0">
        <w:rPr>
          <w:rFonts w:ascii="Arial" w:eastAsia="Times New Roman" w:hAnsi="Arial" w:cs="Arial"/>
          <w:b/>
          <w:bCs/>
          <w:color w:val="214C6D"/>
          <w:sz w:val="23"/>
          <w:szCs w:val="23"/>
          <w:lang w:val="cs-CZ" w:eastAsia="en-GB"/>
        </w:rPr>
        <w:t>zahrnují jak stávající zdroje financování, tak i zdroje financování uvažované investice.</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jc w:val="both"/>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Při výpočtu MCC je tedy nutné</w:t>
      </w:r>
    </w:p>
    <w:p w:rsidR="006348D0" w:rsidRPr="006348D0" w:rsidRDefault="006348D0" w:rsidP="006348D0">
      <w:pPr>
        <w:numPr>
          <w:ilvl w:val="0"/>
          <w:numId w:val="31"/>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přepočítat náklady na vlastní kapitál pomocí nových parametrů</w:t>
      </w:r>
    </w:p>
    <w:p w:rsidR="006348D0" w:rsidRPr="006348D0" w:rsidRDefault="006348D0" w:rsidP="006348D0">
      <w:pPr>
        <w:numPr>
          <w:ilvl w:val="0"/>
          <w:numId w:val="31"/>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použít nové tržní či účetní hodnoty vlastního kapitálu, který obsahuje jak původní, tak nové zdroje</w:t>
      </w:r>
    </w:p>
    <w:p w:rsidR="006348D0" w:rsidRPr="006348D0" w:rsidRDefault="006348D0" w:rsidP="006348D0">
      <w:pPr>
        <w:numPr>
          <w:ilvl w:val="0"/>
          <w:numId w:val="31"/>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zahrnout do vzorce výši nových dluhů a jejich náklady</w:t>
      </w:r>
    </w:p>
    <w:p w:rsidR="006348D0" w:rsidRPr="006348D0" w:rsidRDefault="006348D0" w:rsidP="006348D0">
      <w:pPr>
        <w:spacing w:before="300" w:after="300" w:line="240" w:lineRule="auto"/>
        <w:rPr>
          <w:rFonts w:ascii="Times New Roman" w:eastAsia="Times New Roman" w:hAnsi="Times New Roman" w:cs="Times New Roman"/>
          <w:sz w:val="24"/>
          <w:szCs w:val="24"/>
          <w:lang w:val="cs-CZ" w:eastAsia="en-GB"/>
        </w:rPr>
      </w:pPr>
    </w:p>
    <w:p w:rsidR="006759F3" w:rsidRPr="006348D0" w:rsidRDefault="004B1449">
      <w:pPr>
        <w:rPr>
          <w:lang w:val="cs-CZ"/>
        </w:rPr>
      </w:pPr>
    </w:p>
    <w:sectPr w:rsidR="006759F3" w:rsidRPr="006348D0" w:rsidSect="006B320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0E" w:rsidRDefault="0005330E" w:rsidP="0005330E">
      <w:pPr>
        <w:spacing w:after="0" w:line="240" w:lineRule="auto"/>
      </w:pPr>
      <w:r>
        <w:separator/>
      </w:r>
    </w:p>
  </w:endnote>
  <w:endnote w:type="continuationSeparator" w:id="0">
    <w:p w:rsidR="0005330E" w:rsidRDefault="0005330E" w:rsidP="0005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802887"/>
      <w:docPartObj>
        <w:docPartGallery w:val="Page Numbers (Bottom of Page)"/>
        <w:docPartUnique/>
      </w:docPartObj>
    </w:sdtPr>
    <w:sdtEndPr/>
    <w:sdtContent>
      <w:p w:rsidR="0005330E" w:rsidRDefault="0005330E">
        <w:pPr>
          <w:pStyle w:val="Zpat"/>
          <w:jc w:val="right"/>
        </w:pPr>
        <w:r>
          <w:fldChar w:fldCharType="begin"/>
        </w:r>
        <w:r>
          <w:instrText>PAGE   \* MERGEFORMAT</w:instrText>
        </w:r>
        <w:r>
          <w:fldChar w:fldCharType="separate"/>
        </w:r>
        <w:r>
          <w:rPr>
            <w:lang w:val="cs-CZ"/>
          </w:rPr>
          <w:t>2</w:t>
        </w:r>
        <w:r>
          <w:fldChar w:fldCharType="end"/>
        </w:r>
      </w:p>
    </w:sdtContent>
  </w:sdt>
  <w:p w:rsidR="0005330E" w:rsidRDefault="000533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0E" w:rsidRDefault="0005330E" w:rsidP="0005330E">
      <w:pPr>
        <w:spacing w:after="0" w:line="240" w:lineRule="auto"/>
      </w:pPr>
      <w:r>
        <w:separator/>
      </w:r>
    </w:p>
  </w:footnote>
  <w:footnote w:type="continuationSeparator" w:id="0">
    <w:p w:rsidR="0005330E" w:rsidRDefault="0005330E" w:rsidP="0005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CCB"/>
    <w:multiLevelType w:val="multilevel"/>
    <w:tmpl w:val="3E54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1582A"/>
    <w:multiLevelType w:val="multilevel"/>
    <w:tmpl w:val="266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07369"/>
    <w:multiLevelType w:val="multilevel"/>
    <w:tmpl w:val="AF48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526B0"/>
    <w:multiLevelType w:val="multilevel"/>
    <w:tmpl w:val="E9D0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01CCD"/>
    <w:multiLevelType w:val="multilevel"/>
    <w:tmpl w:val="3F6A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F6B93"/>
    <w:multiLevelType w:val="multilevel"/>
    <w:tmpl w:val="6172C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776E6"/>
    <w:multiLevelType w:val="multilevel"/>
    <w:tmpl w:val="489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02BC6"/>
    <w:multiLevelType w:val="multilevel"/>
    <w:tmpl w:val="EE1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E6CCA"/>
    <w:multiLevelType w:val="multilevel"/>
    <w:tmpl w:val="8E1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26D6A"/>
    <w:multiLevelType w:val="multilevel"/>
    <w:tmpl w:val="A300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17748"/>
    <w:multiLevelType w:val="multilevel"/>
    <w:tmpl w:val="C58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56B3F"/>
    <w:multiLevelType w:val="multilevel"/>
    <w:tmpl w:val="59BC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34FC5"/>
    <w:multiLevelType w:val="multilevel"/>
    <w:tmpl w:val="EC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771C0"/>
    <w:multiLevelType w:val="multilevel"/>
    <w:tmpl w:val="219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13796"/>
    <w:multiLevelType w:val="multilevel"/>
    <w:tmpl w:val="7EC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24F2A"/>
    <w:multiLevelType w:val="multilevel"/>
    <w:tmpl w:val="9D4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D5975"/>
    <w:multiLevelType w:val="multilevel"/>
    <w:tmpl w:val="5756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D3709"/>
    <w:multiLevelType w:val="multilevel"/>
    <w:tmpl w:val="2902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A2FF6"/>
    <w:multiLevelType w:val="multilevel"/>
    <w:tmpl w:val="77B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571B3"/>
    <w:multiLevelType w:val="multilevel"/>
    <w:tmpl w:val="448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C3573"/>
    <w:multiLevelType w:val="multilevel"/>
    <w:tmpl w:val="98A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03AD2"/>
    <w:multiLevelType w:val="multilevel"/>
    <w:tmpl w:val="8C0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900F8"/>
    <w:multiLevelType w:val="multilevel"/>
    <w:tmpl w:val="BA1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D0714"/>
    <w:multiLevelType w:val="multilevel"/>
    <w:tmpl w:val="83D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22C6F"/>
    <w:multiLevelType w:val="multilevel"/>
    <w:tmpl w:val="C54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57346"/>
    <w:multiLevelType w:val="multilevel"/>
    <w:tmpl w:val="203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F5851"/>
    <w:multiLevelType w:val="multilevel"/>
    <w:tmpl w:val="B99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25435"/>
    <w:multiLevelType w:val="multilevel"/>
    <w:tmpl w:val="931E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641F20"/>
    <w:multiLevelType w:val="multilevel"/>
    <w:tmpl w:val="9F6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5612B"/>
    <w:multiLevelType w:val="multilevel"/>
    <w:tmpl w:val="D1B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0056D"/>
    <w:multiLevelType w:val="multilevel"/>
    <w:tmpl w:val="CE2AB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A4E43"/>
    <w:multiLevelType w:val="multilevel"/>
    <w:tmpl w:val="44E0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8"/>
  </w:num>
  <w:num w:numId="3">
    <w:abstractNumId w:val="20"/>
  </w:num>
  <w:num w:numId="4">
    <w:abstractNumId w:val="9"/>
  </w:num>
  <w:num w:numId="5">
    <w:abstractNumId w:val="25"/>
  </w:num>
  <w:num w:numId="6">
    <w:abstractNumId w:val="13"/>
  </w:num>
  <w:num w:numId="7">
    <w:abstractNumId w:val="29"/>
  </w:num>
  <w:num w:numId="8">
    <w:abstractNumId w:val="4"/>
  </w:num>
  <w:num w:numId="9">
    <w:abstractNumId w:val="7"/>
  </w:num>
  <w:num w:numId="10">
    <w:abstractNumId w:val="21"/>
  </w:num>
  <w:num w:numId="11">
    <w:abstractNumId w:val="2"/>
  </w:num>
  <w:num w:numId="12">
    <w:abstractNumId w:val="19"/>
  </w:num>
  <w:num w:numId="13">
    <w:abstractNumId w:val="17"/>
  </w:num>
  <w:num w:numId="14">
    <w:abstractNumId w:val="15"/>
  </w:num>
  <w:num w:numId="15">
    <w:abstractNumId w:val="22"/>
  </w:num>
  <w:num w:numId="16">
    <w:abstractNumId w:val="0"/>
  </w:num>
  <w:num w:numId="17">
    <w:abstractNumId w:val="8"/>
  </w:num>
  <w:num w:numId="18">
    <w:abstractNumId w:val="5"/>
  </w:num>
  <w:num w:numId="19">
    <w:abstractNumId w:val="31"/>
  </w:num>
  <w:num w:numId="20">
    <w:abstractNumId w:val="30"/>
  </w:num>
  <w:num w:numId="21">
    <w:abstractNumId w:val="6"/>
  </w:num>
  <w:num w:numId="22">
    <w:abstractNumId w:val="10"/>
  </w:num>
  <w:num w:numId="23">
    <w:abstractNumId w:val="18"/>
  </w:num>
  <w:num w:numId="24">
    <w:abstractNumId w:val="16"/>
  </w:num>
  <w:num w:numId="25">
    <w:abstractNumId w:val="26"/>
  </w:num>
  <w:num w:numId="26">
    <w:abstractNumId w:val="23"/>
  </w:num>
  <w:num w:numId="27">
    <w:abstractNumId w:val="27"/>
  </w:num>
  <w:num w:numId="28">
    <w:abstractNumId w:val="1"/>
  </w:num>
  <w:num w:numId="29">
    <w:abstractNumId w:val="12"/>
  </w:num>
  <w:num w:numId="30">
    <w:abstractNumId w:val="3"/>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D0"/>
    <w:rsid w:val="0005330E"/>
    <w:rsid w:val="000805E3"/>
    <w:rsid w:val="000F4EBB"/>
    <w:rsid w:val="000F6A1C"/>
    <w:rsid w:val="004B1449"/>
    <w:rsid w:val="005D1050"/>
    <w:rsid w:val="006348D0"/>
    <w:rsid w:val="006B3208"/>
    <w:rsid w:val="0075361D"/>
    <w:rsid w:val="00770A80"/>
    <w:rsid w:val="009A0A5C"/>
    <w:rsid w:val="009C776D"/>
    <w:rsid w:val="00C17DFA"/>
    <w:rsid w:val="00C2510E"/>
    <w:rsid w:val="00D65BFE"/>
    <w:rsid w:val="00ED2F71"/>
    <w:rsid w:val="00F874B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1D0267E4-443E-485C-A8AF-7B70DAC5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348D0"/>
    <w:rPr>
      <w:color w:val="0563C1" w:themeColor="hyperlink"/>
      <w:u w:val="single"/>
    </w:rPr>
  </w:style>
  <w:style w:type="character" w:styleId="Nevyeenzmnka">
    <w:name w:val="Unresolved Mention"/>
    <w:basedOn w:val="Standardnpsmoodstavce"/>
    <w:uiPriority w:val="99"/>
    <w:semiHidden/>
    <w:unhideWhenUsed/>
    <w:rsid w:val="006348D0"/>
    <w:rPr>
      <w:color w:val="605E5C"/>
      <w:shd w:val="clear" w:color="auto" w:fill="E1DFDD"/>
    </w:rPr>
  </w:style>
  <w:style w:type="paragraph" w:styleId="Zhlav">
    <w:name w:val="header"/>
    <w:basedOn w:val="Normln"/>
    <w:link w:val="ZhlavChar"/>
    <w:uiPriority w:val="99"/>
    <w:unhideWhenUsed/>
    <w:rsid w:val="000533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330E"/>
  </w:style>
  <w:style w:type="paragraph" w:styleId="Zpat">
    <w:name w:val="footer"/>
    <w:basedOn w:val="Normln"/>
    <w:link w:val="ZpatChar"/>
    <w:uiPriority w:val="99"/>
    <w:unhideWhenUsed/>
    <w:rsid w:val="0005330E"/>
    <w:pPr>
      <w:tabs>
        <w:tab w:val="center" w:pos="4536"/>
        <w:tab w:val="right" w:pos="9072"/>
      </w:tabs>
      <w:spacing w:after="0" w:line="240" w:lineRule="auto"/>
    </w:pPr>
  </w:style>
  <w:style w:type="character" w:customStyle="1" w:styleId="ZpatChar">
    <w:name w:val="Zápatí Char"/>
    <w:basedOn w:val="Standardnpsmoodstavce"/>
    <w:link w:val="Zpat"/>
    <w:uiPriority w:val="99"/>
    <w:rsid w:val="0005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326">
      <w:bodyDiv w:val="1"/>
      <w:marLeft w:val="0"/>
      <w:marRight w:val="0"/>
      <w:marTop w:val="0"/>
      <w:marBottom w:val="0"/>
      <w:divBdr>
        <w:top w:val="none" w:sz="0" w:space="0" w:color="auto"/>
        <w:left w:val="none" w:sz="0" w:space="0" w:color="auto"/>
        <w:bottom w:val="none" w:sz="0" w:space="0" w:color="auto"/>
        <w:right w:val="none" w:sz="0" w:space="0" w:color="auto"/>
      </w:divBdr>
    </w:div>
    <w:div w:id="18865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ountlearning.blogspot.cz/2011/07/significance-and-components-of-cost-of.html" TargetMode="External"/><Relationship Id="rId13" Type="http://schemas.openxmlformats.org/officeDocument/2006/relationships/hyperlink" Target="https://www.febmat.com/clanek-vazene-prumerne-naklady-kapitalu-wacc/" TargetMode="External"/><Relationship Id="rId3" Type="http://schemas.openxmlformats.org/officeDocument/2006/relationships/settings" Target="settings.xml"/><Relationship Id="rId7" Type="http://schemas.openxmlformats.org/officeDocument/2006/relationships/hyperlink" Target="https://www.febmat.com/clanek-diverzifikac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bmat.com/clanek-systematicke-rizik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ebmat.com/clanek-koeficient-beta/"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1941</Words>
  <Characters>11065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Adámek</dc:creator>
  <cp:keywords/>
  <dc:description/>
  <cp:lastModifiedBy>Pavel Adámek</cp:lastModifiedBy>
  <cp:revision>7</cp:revision>
  <dcterms:created xsi:type="dcterms:W3CDTF">2018-12-14T08:02:00Z</dcterms:created>
  <dcterms:modified xsi:type="dcterms:W3CDTF">2020-09-30T19:45:00Z</dcterms:modified>
</cp:coreProperties>
</file>